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0D" w:rsidRDefault="00F56EC4"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F56EC4"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 Name: Rangeview Primary School (5431)</w:t>
      </w:r>
    </w:p>
    <w:p w:rsidR="00BE480F" w:rsidRPr="00361721" w:rsidRDefault="00F34A83"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D40B4D" w:rsidTr="00CB7ABD">
        <w:trPr>
          <w:trHeight w:val="11387"/>
        </w:trPr>
        <w:tc>
          <w:tcPr>
            <w:tcW w:w="3141" w:type="dxa"/>
          </w:tcPr>
          <w:p w:rsidR="00821302" w:rsidRDefault="00F34A83" w:rsidP="00BE480F">
            <w:pPr>
              <w:pStyle w:val="ESHeading2"/>
              <w:rPr>
                <w:b w:val="0"/>
                <w:sz w:val="18"/>
                <w:szCs w:val="18"/>
              </w:rPr>
            </w:pPr>
          </w:p>
          <w:p w:rsidR="00BE480F" w:rsidRPr="00BE480F" w:rsidRDefault="00F56EC4"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657317"/>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657317"/>
                          </a:xfrm>
                          <a:prstGeom prst="rect">
                            <a:avLst/>
                          </a:prstGeom>
                        </pic:spPr>
                      </pic:pic>
                    </a:graphicData>
                  </a:graphic>
                </wp:anchor>
              </w:drawing>
            </w:r>
          </w:p>
          <w:p w:rsidR="00BE480F" w:rsidRPr="00BE480F" w:rsidRDefault="00F56EC4"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F56EC4"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D40B4D" w:rsidTr="007C1665">
                                    <w:trPr>
                                      <w:trHeight w:val="18"/>
                                    </w:trPr>
                                    <w:tc>
                                      <w:tcPr>
                                        <w:tcW w:w="5356" w:type="dxa"/>
                                        <w:vAlign w:val="center"/>
                                      </w:tcPr>
                                      <w:p w:rsidR="006932E3" w:rsidRPr="009D4C10" w:rsidRDefault="00F56EC4"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6932E3" w:rsidRPr="009D4C10" w:rsidRDefault="00F56EC4"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F56EC4"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R="00D40B4D" w:rsidTr="007C1665">
                                    <w:trPr>
                                      <w:trHeight w:val="48"/>
                                    </w:trPr>
                                    <w:tc>
                                      <w:tcPr>
                                        <w:tcW w:w="5356" w:type="dxa"/>
                                      </w:tcPr>
                                      <w:p w:rsidR="006932E3" w:rsidRDefault="00F56EC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March 2019 at 12:50 PM by Elizabeth Barr (Principal)</w:t>
                                        </w:r>
                                      </w:p>
                                    </w:tc>
                                  </w:tr>
                                </w:tbl>
                                <w:p w:rsidR="006932E3" w:rsidRDefault="00F34A83" w:rsidP="00177D7F"/>
                                <w:p w:rsidR="006932E3" w:rsidRDefault="00F34A83"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D40B4D" w:rsidTr="007C1665">
                                    <w:trPr>
                                      <w:trHeight w:val="112"/>
                                    </w:trPr>
                                    <w:tc>
                                      <w:tcPr>
                                        <w:tcW w:w="5432" w:type="dxa"/>
                                        <w:vAlign w:val="center"/>
                                      </w:tcPr>
                                      <w:p w:rsidR="006932E3" w:rsidRPr="009D4C10" w:rsidRDefault="00F56EC4"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6932E3" w:rsidRPr="009D4C10" w:rsidRDefault="00F56EC4"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F56EC4"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D40B4D" w:rsidTr="007C1665">
                                    <w:trPr>
                                      <w:trHeight w:val="268"/>
                                    </w:trPr>
                                    <w:tc>
                                      <w:tcPr>
                                        <w:tcW w:w="5432" w:type="dxa"/>
                                      </w:tcPr>
                                      <w:p w:rsidR="006932E3" w:rsidRDefault="00F56EC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2019 at 11:44 AM by Lloyd Lazaro (School Council President)</w:t>
                                        </w:r>
                                      </w:p>
                                    </w:tc>
                                  </w:tr>
                                </w:tbl>
                                <w:p w:rsidR="006932E3" w:rsidRDefault="00F34A83"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&#13;&#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D40B4D" w:rsidTr="007C1665">
                              <w:trPr>
                                <w:trHeight w:val="18"/>
                              </w:trPr>
                              <w:tc>
                                <w:tcPr>
                                  <w:tcW w:w="5356" w:type="dxa"/>
                                  <w:vAlign w:val="center"/>
                                </w:tcPr>
                                <w:p w:rsidR="006932E3" w:rsidRPr="009D4C10" w:rsidRDefault="00F56EC4"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6932E3" w:rsidRPr="009D4C10" w:rsidRDefault="00F56EC4"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F56EC4"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R="00D40B4D" w:rsidTr="007C1665">
                              <w:trPr>
                                <w:trHeight w:val="48"/>
                              </w:trPr>
                              <w:tc>
                                <w:tcPr>
                                  <w:tcW w:w="5356" w:type="dxa"/>
                                </w:tcPr>
                                <w:p w:rsidR="006932E3" w:rsidRDefault="00F56EC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March 2019 at 12:50 PM by Elizabeth Barr (Principal)</w:t>
                                  </w:r>
                                </w:p>
                              </w:tc>
                            </w:tr>
                          </w:tbl>
                          <w:p w:rsidR="006932E3" w:rsidRDefault="00F34A83" w:rsidP="00177D7F"/>
                          <w:p w:rsidR="006932E3" w:rsidRDefault="00F34A83"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D40B4D" w:rsidTr="007C1665">
                              <w:trPr>
                                <w:trHeight w:val="112"/>
                              </w:trPr>
                              <w:tc>
                                <w:tcPr>
                                  <w:tcW w:w="5432" w:type="dxa"/>
                                  <w:vAlign w:val="center"/>
                                </w:tcPr>
                                <w:p w:rsidR="006932E3" w:rsidRPr="009D4C10" w:rsidRDefault="00F56EC4"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6932E3" w:rsidRPr="009D4C10" w:rsidRDefault="00F56EC4"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F56EC4"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D40B4D" w:rsidTr="007C1665">
                              <w:trPr>
                                <w:trHeight w:val="268"/>
                              </w:trPr>
                              <w:tc>
                                <w:tcPr>
                                  <w:tcW w:w="5432" w:type="dxa"/>
                                </w:tcPr>
                                <w:p w:rsidR="006932E3" w:rsidRDefault="00F56EC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2019 at 11:44 AM by Lloyd Lazaro (School Council President)</w:t>
                                  </w:r>
                                </w:p>
                              </w:tc>
                            </w:tr>
                          </w:tbl>
                          <w:p w:rsidR="006932E3" w:rsidRDefault="00F34A83" w:rsidP="00177D7F"/>
                        </w:txbxContent>
                      </v:textbox>
                      <w10:wrap anchorx="margin"/>
                    </v:shape>
                  </w:pict>
                </mc:Fallback>
              </mc:AlternateContent>
            </w:r>
          </w:p>
        </w:tc>
      </w:tr>
    </w:tbl>
    <w:p w:rsidR="00BE480F" w:rsidRDefault="00F34A83" w:rsidP="00AF1438">
      <w:pPr>
        <w:ind w:left="540" w:right="419"/>
        <w:rPr>
          <w:color w:val="595959" w:themeColor="text1" w:themeTint="A6"/>
        </w:rPr>
      </w:pPr>
    </w:p>
    <w:p w:rsidR="00481904" w:rsidRDefault="00F34A83"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footerReference w:type="first" r:id="rId22"/>
          <w:pgSz w:w="11906" w:h="16838" w:code="9"/>
          <w:pgMar w:top="1005" w:right="737" w:bottom="1304" w:left="562" w:header="624" w:footer="1134" w:gutter="0"/>
          <w:cols w:space="397"/>
          <w:docGrid w:linePitch="360"/>
        </w:sectPr>
      </w:pPr>
    </w:p>
    <w:p w:rsidR="00BF76C7" w:rsidRPr="00242590" w:rsidRDefault="00F56EC4" w:rsidP="00B42C9B">
      <w:pPr>
        <w:ind w:left="-540" w:right="-632"/>
        <w:jc w:val="center"/>
        <w:rPr>
          <w:b/>
          <w:color w:val="AF272F"/>
          <w:sz w:val="32"/>
          <w:szCs w:val="32"/>
        </w:rPr>
      </w:pPr>
      <w:r>
        <w:rPr>
          <w:b/>
          <w:color w:val="AF272F"/>
          <w:sz w:val="36"/>
          <w:szCs w:val="44"/>
        </w:rPr>
        <w:lastRenderedPageBreak/>
        <w:t>About Our School</w:t>
      </w:r>
    </w:p>
    <w:p w:rsidR="0038585D" w:rsidRPr="00864EAA" w:rsidRDefault="00F34A83"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D40B4D" w:rsidTr="00A02803">
        <w:trPr>
          <w:trHeight w:val="15"/>
        </w:trPr>
        <w:tc>
          <w:tcPr>
            <w:tcW w:w="10226" w:type="dxa"/>
            <w:shd w:val="clear" w:color="auto" w:fill="D9D9D9" w:themeFill="background1" w:themeFillShade="D9"/>
          </w:tcPr>
          <w:p w:rsidR="00777DB2" w:rsidRPr="001C2589" w:rsidRDefault="00F56EC4" w:rsidP="00994A0F">
            <w:pPr>
              <w:pStyle w:val="Heading3"/>
              <w:spacing w:before="0" w:after="0"/>
              <w:rPr>
                <w:sz w:val="24"/>
                <w:szCs w:val="24"/>
              </w:rPr>
            </w:pPr>
            <w:r w:rsidRPr="005206F9">
              <w:rPr>
                <w:sz w:val="22"/>
                <w:szCs w:val="22"/>
              </w:rPr>
              <w:t xml:space="preserve">School </w:t>
            </w:r>
            <w:r>
              <w:rPr>
                <w:sz w:val="22"/>
                <w:szCs w:val="22"/>
              </w:rPr>
              <w:t>context</w:t>
            </w:r>
          </w:p>
        </w:tc>
      </w:tr>
      <w:tr w:rsidR="00D40B4D" w:rsidTr="00A02803">
        <w:trPr>
          <w:trHeight w:val="15"/>
        </w:trPr>
        <w:tc>
          <w:tcPr>
            <w:tcW w:w="10226" w:type="dxa"/>
            <w:shd w:val="clear" w:color="auto" w:fill="FFFFFF" w:themeFill="background1"/>
          </w:tcPr>
          <w:p w:rsidR="00777DB2" w:rsidRPr="005A75E6" w:rsidRDefault="00F56EC4" w:rsidP="00994A0F">
            <w:pPr>
              <w:pStyle w:val="Heading3"/>
              <w:spacing w:before="0" w:after="0"/>
              <w:rPr>
                <w:b w:val="0"/>
                <w:szCs w:val="20"/>
              </w:rPr>
            </w:pPr>
            <w:r>
              <w:rPr>
                <w:b w:val="0"/>
              </w:rPr>
              <w:t>Rangeview Primary School is located within the established eastern metropolitan suburb of Mitcham in the City of Whitehorse and is part of the Riversdale Network of Schools in the North Eastern Victoria Region. In 2019 the school will celebrate its 25th anniversary as Rangeview PS, having arisen from two school mergers in the early 1990s encompassing Verdale, Heatherdale, and Eastmont primary schools.</w:t>
            </w:r>
            <w:r>
              <w:rPr>
                <w:b w:val="0"/>
              </w:rPr>
              <w:br/>
              <w:t>The school’s site capacity was capped at 525 students in 2006 and the student enrolment has been relatively steady around 560 to 580 students. But it is anticipated that the school will grow to 625 students in 2020. The current enrolment sits at 610 and the school is confident of maintaining its enrolments with the current 103 foundation enrolments for 2019. The anticipated growth is in part due to the smaller group of year 6 students (61 students) exiting in at the end of 2019.</w:t>
            </w:r>
            <w:r>
              <w:rPr>
                <w:b w:val="0"/>
              </w:rPr>
              <w:br/>
              <w:t>The school’s Student Family Occupation (SFO) density has ranged between 0.2474 and 0.29 over the last 4 year period indicating a school community with a high overall socio-economic status, and suggesting that student means could be expected to be well above the State results.</w:t>
            </w:r>
            <w:r>
              <w:rPr>
                <w:b w:val="0"/>
              </w:rPr>
              <w:br/>
              <w:t>The proportion of students with a language background other than English (LBOTE) is mid-high and attracts a small amount of additional funding in the Student Resource Package (SRP) to support the learning needs of EAL students. There are currently 24 classes, the majority of which are structured in year levels except in year 5 and 6.</w:t>
            </w:r>
            <w:r>
              <w:rPr>
                <w:b w:val="0"/>
              </w:rPr>
              <w:br/>
              <w:t>The staffing profile has reflected the enrolment trend remaining relatively steady with minimal staff movement. The leadership profile includes three principal class officers with 32.6 EFT teachers. The 11.6 education support (ES) staff  provide administrative support, some learning intervention, EAL tutoring and support for PSD students. The teaching teams are built around new staff with experienced staff.</w:t>
            </w:r>
            <w:r>
              <w:rPr>
                <w:b w:val="0"/>
              </w:rPr>
              <w:br/>
              <w:t>In 2017 staff, students and parents contributed to the School Self Assessment and the future direction in the School Strategic Plan 2018-2021 for the school review with 3 school goals:</w:t>
            </w:r>
            <w:r>
              <w:rPr>
                <w:b w:val="0"/>
              </w:rPr>
              <w:br/>
              <w:t>•</w:t>
            </w:r>
            <w:r>
              <w:rPr>
                <w:b w:val="0"/>
              </w:rPr>
              <w:tab/>
              <w:t>To maximise learning growth across all areas of the curriculum</w:t>
            </w:r>
            <w:r>
              <w:rPr>
                <w:b w:val="0"/>
              </w:rPr>
              <w:br/>
              <w:t>•</w:t>
            </w:r>
            <w:r>
              <w:rPr>
                <w:b w:val="0"/>
              </w:rPr>
              <w:tab/>
              <w:t>Students to understand themselves as learners and the capacity for student agency</w:t>
            </w:r>
            <w:r>
              <w:rPr>
                <w:b w:val="0"/>
              </w:rPr>
              <w:br/>
              <w:t>•</w:t>
            </w:r>
            <w:r>
              <w:rPr>
                <w:b w:val="0"/>
              </w:rPr>
              <w:tab/>
              <w:t>To build an inclusive community that celebrates diversity</w:t>
            </w:r>
            <w:r>
              <w:rPr>
                <w:b w:val="0"/>
              </w:rPr>
              <w:br/>
              <w:t>In 2019 our AIP will focus on:</w:t>
            </w:r>
            <w:r>
              <w:rPr>
                <w:b w:val="0"/>
              </w:rPr>
              <w:br/>
              <w:t>•</w:t>
            </w:r>
            <w:r>
              <w:rPr>
                <w:b w:val="0"/>
              </w:rPr>
              <w:tab/>
              <w:t xml:space="preserve">Writing workshop model and the craft of writing </w:t>
            </w:r>
            <w:r>
              <w:rPr>
                <w:b w:val="0"/>
              </w:rPr>
              <w:br/>
              <w:t>•</w:t>
            </w:r>
            <w:r>
              <w:rPr>
                <w:b w:val="0"/>
              </w:rPr>
              <w:tab/>
              <w:t>The instructional model across curriculum and specialist areas</w:t>
            </w:r>
            <w:r>
              <w:rPr>
                <w:b w:val="0"/>
              </w:rPr>
              <w:br/>
              <w:t xml:space="preserve">         Students to understand themselves as learners and the capacity for student agency and introducing 3 way conferences for our reporting process</w:t>
            </w:r>
            <w:r>
              <w:rPr>
                <w:b w:val="0"/>
              </w:rPr>
              <w:br/>
              <w:t xml:space="preserve">         Embedding a whole school community approach to a positive learning climate</w:t>
            </w:r>
            <w:r>
              <w:rPr>
                <w:b w:val="0"/>
              </w:rPr>
              <w:br/>
              <w:t>A broad range of specialist and extra-curricular programs are offered across the school. Visual arts, performing arts, physical education, German (LOTE) and  Digi Tech ( for level 5-6) introduced in 2018 are the school’s F-6 specialist provision. A focus on technology sees all classrooms with interactive whiteboards or large flat screen televisions and a range of hardware resources including desk top, laptops and iPads. A research-based decision to pursue portable tablet technology and an optional ‘bring-your-own-device’ (BYOD) iPad program has been implemented with students in from Foundation to year 6, originally starting in 2014 in Foundation and year 4. It is now fully established BYOD iPad program across all levels since 2016.</w:t>
            </w:r>
            <w:r>
              <w:rPr>
                <w:b w:val="0"/>
              </w:rPr>
              <w:br/>
              <w:t xml:space="preserve">Parent engagement is high with an active school council and parent community. The school’s website provides rich information and offers parent input via surveys and blogs and consultation is ongoing. </w:t>
            </w:r>
            <w:r>
              <w:rPr>
                <w:b w:val="0"/>
              </w:rPr>
              <w:br/>
              <w:t xml:space="preserve">Working bees are well attended and fundraising is strong. There is a commitment to continuously improving the physical learning environment for students. The outdoor areas offer a range of play opportunities and in recent times the school has created a large vegetable garden from unused and underdeveloped space adjacent to the oval underpinning the current flora and fauna focus. </w:t>
            </w:r>
            <w:r>
              <w:rPr>
                <w:b w:val="0"/>
              </w:rPr>
              <w:br/>
              <w:t xml:space="preserve">Strong community pride extends into the internal learning environment. A number of relocatable mod 5 buildings provide additional classrooms. A permanent stand-alone building houses the ICT lab to be converted to a STEM space. A more recent focus on facility development has resulted in the creation of a master plan to maximise playground space and enhance classroom connectedness. It includes the addition of four mod 5 buildings, the removal of the aged mod 2 buildings and the re-positioning of existing buildings. The three mod 5 additions have </w:t>
            </w:r>
            <w:r>
              <w:rPr>
                <w:b w:val="0"/>
              </w:rPr>
              <w:lastRenderedPageBreak/>
              <w:t>been located to form a senior learning hub. The large BER multipurpose building offers substantial space for indoor physical education, performing arts, instrumental music, a well-appointed teaching kitchen for student cooking tasks and the space for OSHClub and outside sporting groups as a community hub.</w:t>
            </w:r>
          </w:p>
        </w:tc>
      </w:tr>
      <w:tr w:rsidR="00D40B4D" w:rsidTr="00A02803">
        <w:trPr>
          <w:trHeight w:val="15"/>
        </w:trPr>
        <w:tc>
          <w:tcPr>
            <w:tcW w:w="10226" w:type="dxa"/>
            <w:shd w:val="clear" w:color="auto" w:fill="D9D9D9" w:themeFill="background1" w:themeFillShade="D9"/>
          </w:tcPr>
          <w:p w:rsidR="00777DB2" w:rsidRDefault="00F56EC4" w:rsidP="00994A0F">
            <w:pPr>
              <w:pStyle w:val="Heading3"/>
              <w:spacing w:before="0" w:after="0"/>
              <w:rPr>
                <w:szCs w:val="20"/>
              </w:rPr>
            </w:pPr>
            <w:r w:rsidRPr="00D3162B">
              <w:rPr>
                <w:sz w:val="22"/>
                <w:szCs w:val="22"/>
              </w:rPr>
              <w:lastRenderedPageBreak/>
              <w:t>Framework for Improving Student Outcomes (FISO)</w:t>
            </w:r>
          </w:p>
        </w:tc>
      </w:tr>
      <w:tr w:rsidR="00D40B4D" w:rsidTr="00A02803">
        <w:trPr>
          <w:trHeight w:val="15"/>
        </w:trPr>
        <w:tc>
          <w:tcPr>
            <w:tcW w:w="10226" w:type="dxa"/>
            <w:shd w:val="clear" w:color="auto" w:fill="FFFFFF" w:themeFill="background1"/>
          </w:tcPr>
          <w:p w:rsidR="00777DB2" w:rsidRPr="005A75E6" w:rsidRDefault="00F56EC4" w:rsidP="00994A0F">
            <w:pPr>
              <w:pStyle w:val="Heading3"/>
              <w:spacing w:before="0" w:after="0"/>
              <w:rPr>
                <w:b w:val="0"/>
                <w:szCs w:val="20"/>
              </w:rPr>
            </w:pPr>
            <w:r>
              <w:rPr>
                <w:b w:val="0"/>
              </w:rPr>
              <w:t xml:space="preserve"> In 2018 the FISO network has schools that are focussing on the instructional model in writing. The visits to each school in 2017 enabled the schools to view practice and evaluate the consistency of the instructional model. In 2018 we had combined writing moderation session.</w:t>
            </w:r>
            <w:r>
              <w:rPr>
                <w:b w:val="0"/>
              </w:rPr>
              <w:br/>
              <w:t>As a school we have focussed on:</w:t>
            </w:r>
            <w:r>
              <w:rPr>
                <w:b w:val="0"/>
              </w:rPr>
              <w:br/>
              <w:t>•</w:t>
            </w:r>
            <w:r>
              <w:rPr>
                <w:b w:val="0"/>
              </w:rPr>
              <w:tab/>
              <w:t>Literacy PLC and restructured leadership model with learning specialists and Curriculum AP</w:t>
            </w:r>
            <w:r>
              <w:rPr>
                <w:b w:val="0"/>
              </w:rPr>
              <w:br/>
              <w:t>•</w:t>
            </w:r>
            <w:r>
              <w:rPr>
                <w:b w:val="0"/>
              </w:rPr>
              <w:tab/>
              <w:t>Agreed whole school instructional model for Writing</w:t>
            </w:r>
            <w:r>
              <w:rPr>
                <w:b w:val="0"/>
              </w:rPr>
              <w:br/>
              <w:t>•</w:t>
            </w:r>
            <w:r>
              <w:rPr>
                <w:b w:val="0"/>
              </w:rPr>
              <w:tab/>
              <w:t>Literacy coaching and modelling (0.2 release) by the learning specialists and targeted professional learning</w:t>
            </w:r>
            <w:r>
              <w:rPr>
                <w:b w:val="0"/>
              </w:rPr>
              <w:br/>
              <w:t>•</w:t>
            </w:r>
            <w:r>
              <w:rPr>
                <w:b w:val="0"/>
              </w:rPr>
              <w:tab/>
              <w:t>FISO network focus on instructional model and school visits and shared data</w:t>
            </w:r>
            <w:r>
              <w:rPr>
                <w:b w:val="0"/>
              </w:rPr>
              <w:br/>
              <w:t>•</w:t>
            </w:r>
            <w:r>
              <w:rPr>
                <w:b w:val="0"/>
              </w:rPr>
              <w:tab/>
              <w:t>Collective responsibility for student data ensuring12 month progress and strategies in place for all abilities</w:t>
            </w:r>
            <w:r>
              <w:rPr>
                <w:b w:val="0"/>
              </w:rPr>
              <w:br/>
              <w:t>All PDPs (Performance and Development Plans) include Writing targets and the agreed instructional model.</w:t>
            </w:r>
            <w:r>
              <w:rPr>
                <w:b w:val="0"/>
              </w:rPr>
              <w:br/>
            </w:r>
          </w:p>
        </w:tc>
      </w:tr>
      <w:tr w:rsidR="00D40B4D" w:rsidTr="00A02803">
        <w:trPr>
          <w:trHeight w:val="15"/>
        </w:trPr>
        <w:tc>
          <w:tcPr>
            <w:tcW w:w="10226" w:type="dxa"/>
            <w:shd w:val="clear" w:color="auto" w:fill="D9D9D9" w:themeFill="background1" w:themeFillShade="D9"/>
          </w:tcPr>
          <w:p w:rsidR="00777DB2" w:rsidRDefault="00F56EC4" w:rsidP="00994A0F">
            <w:pPr>
              <w:pStyle w:val="Heading3"/>
              <w:spacing w:before="0" w:after="0"/>
              <w:rPr>
                <w:szCs w:val="20"/>
              </w:rPr>
            </w:pPr>
            <w:r w:rsidRPr="00D3162B">
              <w:rPr>
                <w:sz w:val="22"/>
                <w:szCs w:val="22"/>
              </w:rPr>
              <w:t>Achievement</w:t>
            </w:r>
          </w:p>
        </w:tc>
      </w:tr>
      <w:tr w:rsidR="00D40B4D" w:rsidTr="00A02803">
        <w:trPr>
          <w:trHeight w:val="15"/>
        </w:trPr>
        <w:tc>
          <w:tcPr>
            <w:tcW w:w="10226" w:type="dxa"/>
            <w:shd w:val="clear" w:color="auto" w:fill="FFFFFF" w:themeFill="background1"/>
          </w:tcPr>
          <w:p w:rsidR="00777DB2" w:rsidRPr="005A75E6" w:rsidRDefault="00F56EC4" w:rsidP="00994A0F">
            <w:pPr>
              <w:pStyle w:val="Heading3"/>
              <w:spacing w:before="0" w:after="0"/>
              <w:rPr>
                <w:b w:val="0"/>
                <w:szCs w:val="20"/>
              </w:rPr>
            </w:pPr>
            <w:r>
              <w:rPr>
                <w:b w:val="0"/>
              </w:rPr>
              <w:t>Achievement Goal:  To maximise learning growth for every student. Focus - Writing.</w:t>
            </w:r>
            <w:r>
              <w:rPr>
                <w:b w:val="0"/>
              </w:rPr>
              <w:br/>
              <w:t>Outcomes</w:t>
            </w:r>
            <w:r>
              <w:rPr>
                <w:b w:val="0"/>
              </w:rPr>
              <w:br/>
              <w:t>With a whole school focus on writing in 2018, excellent student achievement has been achieved and is evident in teacher judgement and NAPLAN results. NAPLAN results are higher than state results and higher than similar school results. In 2018 we have increased the percentage of students with medium and high growth in writing from year 3-5, reducing the percentage of students with low growth. This increase is further evident across all literacy areas and numeracy.</w:t>
            </w:r>
            <w:r>
              <w:rPr>
                <w:b w:val="0"/>
              </w:rPr>
              <w:br/>
              <w:t>In 2019</w:t>
            </w:r>
            <w:r>
              <w:rPr>
                <w:b w:val="0"/>
              </w:rPr>
              <w:br/>
              <w:t>•</w:t>
            </w:r>
            <w:r>
              <w:rPr>
                <w:b w:val="0"/>
              </w:rPr>
              <w:tab/>
              <w:t>Introduce the Professional Learning Community structure to collaborative planning sessions to evaluate data and determine point of need for students, to drive planning.</w:t>
            </w:r>
            <w:r>
              <w:rPr>
                <w:b w:val="0"/>
              </w:rPr>
              <w:br/>
              <w:t>•</w:t>
            </w:r>
            <w:r>
              <w:rPr>
                <w:b w:val="0"/>
              </w:rPr>
              <w:tab/>
              <w:t>Collective efficacy – team approach to learning for all students.</w:t>
            </w:r>
            <w:r>
              <w:rPr>
                <w:b w:val="0"/>
              </w:rPr>
              <w:br/>
              <w:t>•</w:t>
            </w:r>
            <w:r>
              <w:rPr>
                <w:b w:val="0"/>
              </w:rPr>
              <w:tab/>
              <w:t>Professional development - data literacy focus (NAPLAN, Progression Point data sheets, data by level, Panorama reports).</w:t>
            </w:r>
            <w:r>
              <w:rPr>
                <w:b w:val="0"/>
              </w:rPr>
              <w:br/>
              <w:t>•</w:t>
            </w:r>
            <w:r>
              <w:rPr>
                <w:b w:val="0"/>
              </w:rPr>
              <w:tab/>
              <w:t>Continued focus on the Writing Traits, including the Seven Steps to Writing Success.</w:t>
            </w:r>
            <w:r>
              <w:rPr>
                <w:b w:val="0"/>
              </w:rPr>
              <w:br/>
              <w:t>•</w:t>
            </w:r>
            <w:r>
              <w:rPr>
                <w:b w:val="0"/>
              </w:rPr>
              <w:tab/>
              <w:t>Consolidate the whole school instructional model for Writing.</w:t>
            </w:r>
            <w:r>
              <w:rPr>
                <w:b w:val="0"/>
              </w:rPr>
              <w:br/>
              <w:t>•</w:t>
            </w:r>
            <w:r>
              <w:rPr>
                <w:b w:val="0"/>
              </w:rPr>
              <w:tab/>
              <w:t>Continued professional learning, peer observation with feedback – Writing Workshop.</w:t>
            </w:r>
            <w:r>
              <w:rPr>
                <w:b w:val="0"/>
              </w:rPr>
              <w:br/>
              <w:t>•</w:t>
            </w:r>
            <w:r>
              <w:rPr>
                <w:b w:val="0"/>
              </w:rPr>
              <w:tab/>
              <w:t>Ongoing review of Assessment Schedules in Literacy and Maths.</w:t>
            </w:r>
            <w:r>
              <w:rPr>
                <w:b w:val="0"/>
              </w:rPr>
              <w:br/>
              <w:t>•</w:t>
            </w:r>
            <w:r>
              <w:rPr>
                <w:b w:val="0"/>
              </w:rPr>
              <w:tab/>
              <w:t>Triangulation of assessment of students achieving above level.</w:t>
            </w:r>
            <w:r>
              <w:rPr>
                <w:b w:val="0"/>
              </w:rPr>
              <w:br/>
              <w:t>•</w:t>
            </w:r>
            <w:r>
              <w:rPr>
                <w:b w:val="0"/>
              </w:rPr>
              <w:tab/>
              <w:t>Moderation of assessment tasks within and across levels.</w:t>
            </w:r>
            <w:r>
              <w:rPr>
                <w:b w:val="0"/>
              </w:rPr>
              <w:br/>
              <w:t>•</w:t>
            </w:r>
            <w:r>
              <w:rPr>
                <w:b w:val="0"/>
              </w:rPr>
              <w:tab/>
              <w:t>Consolidate planning documents with the instructional model.</w:t>
            </w:r>
            <w:r>
              <w:rPr>
                <w:b w:val="0"/>
              </w:rPr>
              <w:br/>
              <w:t>•</w:t>
            </w:r>
            <w:r>
              <w:rPr>
                <w:b w:val="0"/>
              </w:rPr>
              <w:tab/>
              <w:t>High Impact Teaching Strategies – focus feedback, questioning and metacognition.</w:t>
            </w:r>
            <w:r>
              <w:rPr>
                <w:b w:val="0"/>
              </w:rPr>
              <w:br/>
              <w:t>The introduction of collaborative planning in 2018, enabled evaluation of student outcomes to be ongoing, collective and allowed an increased level of moderation of assessment tasks.</w:t>
            </w:r>
            <w:r>
              <w:rPr>
                <w:b w:val="0"/>
              </w:rPr>
              <w:br/>
            </w:r>
            <w:r>
              <w:rPr>
                <w:b w:val="0"/>
              </w:rPr>
              <w:br/>
            </w:r>
          </w:p>
        </w:tc>
      </w:tr>
      <w:tr w:rsidR="00D40B4D" w:rsidTr="00A02803">
        <w:trPr>
          <w:trHeight w:val="15"/>
        </w:trPr>
        <w:tc>
          <w:tcPr>
            <w:tcW w:w="10226" w:type="dxa"/>
            <w:shd w:val="clear" w:color="auto" w:fill="D9D9D9" w:themeFill="background1" w:themeFillShade="D9"/>
          </w:tcPr>
          <w:p w:rsidR="00777DB2" w:rsidRPr="00D3162B" w:rsidRDefault="00F56EC4" w:rsidP="00994A0F">
            <w:pPr>
              <w:pStyle w:val="Heading3"/>
              <w:spacing w:before="0" w:after="0"/>
              <w:rPr>
                <w:sz w:val="22"/>
                <w:szCs w:val="22"/>
              </w:rPr>
            </w:pPr>
            <w:r w:rsidRPr="00D3162B">
              <w:rPr>
                <w:sz w:val="22"/>
                <w:szCs w:val="22"/>
              </w:rPr>
              <w:t>Engagement</w:t>
            </w:r>
          </w:p>
        </w:tc>
      </w:tr>
      <w:tr w:rsidR="00D40B4D" w:rsidTr="00A02803">
        <w:trPr>
          <w:trHeight w:val="15"/>
        </w:trPr>
        <w:tc>
          <w:tcPr>
            <w:tcW w:w="10226" w:type="dxa"/>
            <w:shd w:val="clear" w:color="auto" w:fill="FFFFFF" w:themeFill="background1"/>
          </w:tcPr>
          <w:p w:rsidR="00777DB2" w:rsidRPr="005A75E6" w:rsidRDefault="00F56EC4" w:rsidP="00994A0F">
            <w:pPr>
              <w:pStyle w:val="Heading3"/>
              <w:spacing w:before="0" w:after="0"/>
              <w:rPr>
                <w:b w:val="0"/>
                <w:szCs w:val="20"/>
              </w:rPr>
            </w:pPr>
            <w:r>
              <w:rPr>
                <w:b w:val="0"/>
              </w:rPr>
              <w:t>Engagement Goal: Students to understand themselves as learners and the capacity for student agency</w:t>
            </w:r>
            <w:r>
              <w:rPr>
                <w:b w:val="0"/>
              </w:rPr>
              <w:br/>
              <w:t>•</w:t>
            </w:r>
            <w:r>
              <w:rPr>
                <w:b w:val="0"/>
              </w:rPr>
              <w:tab/>
              <w:t xml:space="preserve">Refinement of student portfolios across the school and the introduction of 3 way conferences </w:t>
            </w:r>
            <w:r>
              <w:rPr>
                <w:b w:val="0"/>
              </w:rPr>
              <w:br/>
              <w:t>•</w:t>
            </w:r>
            <w:r>
              <w:rPr>
                <w:b w:val="0"/>
              </w:rPr>
              <w:tab/>
              <w:t>Continuing Professional Learning to build staff capacity with student portfolios and rich assessment tasks</w:t>
            </w:r>
            <w:r>
              <w:rPr>
                <w:b w:val="0"/>
              </w:rPr>
              <w:br/>
              <w:t>•</w:t>
            </w:r>
            <w:r>
              <w:rPr>
                <w:b w:val="0"/>
              </w:rPr>
              <w:tab/>
              <w:t xml:space="preserve">PLC implementation in 2019, following the training in 2018 with leaders and representatives across the </w:t>
            </w:r>
            <w:r>
              <w:rPr>
                <w:b w:val="0"/>
              </w:rPr>
              <w:lastRenderedPageBreak/>
              <w:t>school to drive implementation across the school– achieve a whole school authentic learning unit with the Harmony Day focus in term 1. Highly successful and repeated this year with a large peace symbol created on the oval with all students and staff and the Big Munch lunch to celebrate that  'We Belong'.</w:t>
            </w:r>
            <w:r>
              <w:rPr>
                <w:b w:val="0"/>
              </w:rPr>
              <w:br/>
              <w:t>•</w:t>
            </w:r>
            <w:r>
              <w:rPr>
                <w:b w:val="0"/>
              </w:rPr>
              <w:tab/>
              <w:t>Introduction of DigiTech specialist area for level 5 and 6 with robotics, coding and programming,  and throughout the school coding and programming in line with Victorian Curriculum with professional learning.</w:t>
            </w:r>
            <w:r>
              <w:rPr>
                <w:b w:val="0"/>
              </w:rPr>
              <w:br/>
            </w:r>
          </w:p>
        </w:tc>
      </w:tr>
      <w:tr w:rsidR="00D40B4D" w:rsidTr="00A02803">
        <w:trPr>
          <w:trHeight w:val="15"/>
        </w:trPr>
        <w:tc>
          <w:tcPr>
            <w:tcW w:w="10226" w:type="dxa"/>
            <w:shd w:val="clear" w:color="auto" w:fill="D9D9D9" w:themeFill="background1" w:themeFillShade="D9"/>
          </w:tcPr>
          <w:p w:rsidR="00777DB2" w:rsidRPr="00D3162B" w:rsidRDefault="00F56EC4" w:rsidP="00994A0F">
            <w:pPr>
              <w:pStyle w:val="Heading3"/>
              <w:spacing w:before="0" w:after="0"/>
              <w:rPr>
                <w:sz w:val="22"/>
                <w:szCs w:val="22"/>
              </w:rPr>
            </w:pPr>
            <w:r w:rsidRPr="00F40AEE">
              <w:rPr>
                <w:sz w:val="22"/>
                <w:szCs w:val="22"/>
              </w:rPr>
              <w:lastRenderedPageBreak/>
              <w:t>Wellbeing</w:t>
            </w:r>
          </w:p>
        </w:tc>
      </w:tr>
      <w:tr w:rsidR="00D40B4D" w:rsidTr="00A02803">
        <w:trPr>
          <w:trHeight w:val="15"/>
        </w:trPr>
        <w:tc>
          <w:tcPr>
            <w:tcW w:w="10226" w:type="dxa"/>
            <w:shd w:val="clear" w:color="auto" w:fill="FFFFFF" w:themeFill="background1"/>
          </w:tcPr>
          <w:p w:rsidR="00777DB2" w:rsidRPr="007C43EB" w:rsidRDefault="00F56EC4" w:rsidP="00994A0F">
            <w:pPr>
              <w:pStyle w:val="Heading3"/>
              <w:spacing w:before="0" w:after="0"/>
              <w:rPr>
                <w:b w:val="0"/>
                <w:szCs w:val="20"/>
              </w:rPr>
            </w:pPr>
            <w:r>
              <w:rPr>
                <w:b w:val="0"/>
              </w:rPr>
              <w:t xml:space="preserve">Wellbeing goal: To enhance wellbeing, foster an inclusive and respectful culture that celebrates diversity. </w:t>
            </w:r>
            <w:r>
              <w:rPr>
                <w:b w:val="0"/>
              </w:rPr>
              <w:br/>
            </w:r>
            <w:r>
              <w:rPr>
                <w:b w:val="0"/>
              </w:rPr>
              <w:br/>
              <w:t>This year we focused on embedding a whole school community approach to a positive learning climate. If students’ understanding of the world and their place in it as global citizens is deepened, then inclusion and a respectful culture is fostered.</w:t>
            </w:r>
            <w:r>
              <w:rPr>
                <w:b w:val="0"/>
              </w:rPr>
              <w:br/>
            </w:r>
            <w:r>
              <w:rPr>
                <w:b w:val="0"/>
              </w:rPr>
              <w:br/>
              <w:t>•</w:t>
            </w:r>
            <w:r>
              <w:rPr>
                <w:b w:val="0"/>
              </w:rPr>
              <w:tab/>
              <w:t xml:space="preserve">Delivery of a whole school unit on Inclusion and Diversity in Term 1. </w:t>
            </w:r>
            <w:r>
              <w:rPr>
                <w:b w:val="0"/>
              </w:rPr>
              <w:br/>
              <w:t>•</w:t>
            </w:r>
            <w:r>
              <w:rPr>
                <w:b w:val="0"/>
              </w:rPr>
              <w:tab/>
              <w:t>Incorporation of the Start Up program and the Commonwealth Games to build on students’ understanding of self, others, the wider community and the world.</w:t>
            </w:r>
            <w:r>
              <w:rPr>
                <w:b w:val="0"/>
              </w:rPr>
              <w:br/>
              <w:t>•</w:t>
            </w:r>
            <w:r>
              <w:rPr>
                <w:b w:val="0"/>
              </w:rPr>
              <w:tab/>
              <w:t xml:space="preserve">Whole school observance of Harmony Day to celebrate the cultural diversity within the school population. </w:t>
            </w:r>
            <w:r>
              <w:rPr>
                <w:b w:val="0"/>
              </w:rPr>
              <w:br/>
              <w:t>•</w:t>
            </w:r>
            <w:r>
              <w:rPr>
                <w:b w:val="0"/>
              </w:rPr>
              <w:tab/>
              <w:t xml:space="preserve">Level observance of specific celebration days / festivals supported by parents / carers. These included Chinese New Year and Diwali – Festival of Lights. </w:t>
            </w:r>
            <w:r>
              <w:rPr>
                <w:b w:val="0"/>
              </w:rPr>
              <w:br/>
              <w:t>•</w:t>
            </w:r>
            <w:r>
              <w:rPr>
                <w:b w:val="0"/>
              </w:rPr>
              <w:tab/>
              <w:t xml:space="preserve">Introduction of the Rights, Resilience and Respectful Relationships Program across the school. Timetabled weekly sessions in every class built on the students’ social and emotional learning and their understanding of respectful relationships and gender equity. </w:t>
            </w:r>
            <w:r>
              <w:rPr>
                <w:b w:val="0"/>
              </w:rPr>
              <w:br/>
              <w:t>•</w:t>
            </w:r>
            <w:r>
              <w:rPr>
                <w:b w:val="0"/>
              </w:rPr>
              <w:tab/>
              <w:t xml:space="preserve">Continue with the Kids Matter initiative through the completion of Component Two – introduction of a school wide Social and Emotional Learning Curriculum. </w:t>
            </w:r>
            <w:r>
              <w:rPr>
                <w:b w:val="0"/>
              </w:rPr>
              <w:br/>
              <w:t>•</w:t>
            </w:r>
            <w:r>
              <w:rPr>
                <w:b w:val="0"/>
              </w:rPr>
              <w:tab/>
              <w:t xml:space="preserve">Continue to develop and deliver a school wide eSmart program which scaffolds the students’ awareness of cyber safety and promotes ethical online behaviour. </w:t>
            </w:r>
            <w:r>
              <w:rPr>
                <w:b w:val="0"/>
              </w:rPr>
              <w:br/>
              <w:t>•</w:t>
            </w:r>
            <w:r>
              <w:rPr>
                <w:b w:val="0"/>
              </w:rPr>
              <w:tab/>
              <w:t xml:space="preserve">Deliver student, staff and parent eSmart information sessions. </w:t>
            </w:r>
            <w:r>
              <w:rPr>
                <w:b w:val="0"/>
              </w:rPr>
              <w:br/>
              <w:t>•</w:t>
            </w:r>
            <w:r>
              <w:rPr>
                <w:b w:val="0"/>
              </w:rPr>
              <w:tab/>
              <w:t xml:space="preserve">Student Leadership team involved in support programs and initiatives across the school including; Peer Mediators, lunchtime sport sessions, Hot Chocolate Day and the building of a legacy project – The GaGa Pit. </w:t>
            </w:r>
            <w:r>
              <w:rPr>
                <w:b w:val="0"/>
              </w:rPr>
              <w:br/>
            </w:r>
            <w:r>
              <w:rPr>
                <w:b w:val="0"/>
              </w:rPr>
              <w:br/>
              <w:t xml:space="preserve">This year student absence rates are lower than the state median and are similar to like school absence rates. Our Sense of Connectedness as reported by the students in the Student Attitudes to School Survey was lower than the state median but showed improvement from previous years. Our student perception on Management of Bullying as reported by students in the Student Attitudes to School Survey was greatly improved on previous years. </w:t>
            </w:r>
            <w:r>
              <w:rPr>
                <w:b w:val="0"/>
              </w:rPr>
              <w:br/>
            </w:r>
          </w:p>
        </w:tc>
      </w:tr>
      <w:tr w:rsidR="00D40B4D" w:rsidTr="00A02803">
        <w:trPr>
          <w:trHeight w:val="15"/>
        </w:trPr>
        <w:tc>
          <w:tcPr>
            <w:tcW w:w="10226" w:type="dxa"/>
            <w:shd w:val="clear" w:color="auto" w:fill="D9D9D9" w:themeFill="background1" w:themeFillShade="D9"/>
          </w:tcPr>
          <w:p w:rsidR="00777DB2" w:rsidRPr="00D3162B" w:rsidRDefault="00F56EC4" w:rsidP="00994A0F">
            <w:pPr>
              <w:pStyle w:val="Heading3"/>
              <w:spacing w:before="0" w:after="0"/>
              <w:rPr>
                <w:sz w:val="22"/>
                <w:szCs w:val="22"/>
              </w:rPr>
            </w:pPr>
            <w:r w:rsidRPr="00F40AEE">
              <w:rPr>
                <w:sz w:val="22"/>
                <w:szCs w:val="22"/>
              </w:rPr>
              <w:t>Financial performance and position</w:t>
            </w:r>
          </w:p>
        </w:tc>
      </w:tr>
      <w:tr w:rsidR="00D40B4D" w:rsidTr="00A02803">
        <w:trPr>
          <w:trHeight w:val="15"/>
        </w:trPr>
        <w:tc>
          <w:tcPr>
            <w:tcW w:w="10226" w:type="dxa"/>
            <w:shd w:val="clear" w:color="auto" w:fill="FFFFFF" w:themeFill="background1"/>
          </w:tcPr>
          <w:p w:rsidR="00777DB2" w:rsidRPr="005A75E6" w:rsidRDefault="00F56EC4" w:rsidP="00994A0F">
            <w:pPr>
              <w:pStyle w:val="Heading3"/>
              <w:spacing w:before="0" w:after="0"/>
              <w:rPr>
                <w:b w:val="0"/>
                <w:szCs w:val="20"/>
              </w:rPr>
            </w:pPr>
            <w:r>
              <w:rPr>
                <w:b w:val="0"/>
              </w:rPr>
              <w:t>Rangeview has accumulated a surplus over  a number of years. Capital expenditure has contributed to a number of significant projects - for example replacing carpet in the main buildings, new play equipment , replacement of older air conditioning units, decks and roof over the grade 3 and grade 2 hub. Plans are underway for future projects - cooling in the hall, shade sails, synthetic turf areas, creation of the STEM learning space from the under used computer lab, EAL tutoring program. Students and parents and staff are consulted on these projects,</w:t>
            </w:r>
            <w:r>
              <w:rPr>
                <w:b w:val="0"/>
              </w:rPr>
              <w:br/>
              <w:t>Equity funding is allocated to our literacy support programs.  We have allocated CAR funding in 2017 /2018 for the major rebuilding of retaining walls that were rotten and in need of replacement.</w:t>
            </w:r>
            <w:r>
              <w:rPr>
                <w:b w:val="0"/>
              </w:rPr>
              <w:br/>
              <w:t>The finances of the school are well managed and programs well resourced. Parents are actively involved in fund raising and the school had a fete in 2018.</w:t>
            </w:r>
          </w:p>
        </w:tc>
      </w:tr>
    </w:tbl>
    <w:p w:rsidR="005E684F" w:rsidRPr="00FA10DB" w:rsidRDefault="00F34A83"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p w:rsidR="002A03C0" w:rsidRDefault="00F56EC4">
      <w:pPr>
        <w:pStyle w:val="ESHeading1"/>
        <w:jc w:val="center"/>
        <w:rPr>
          <w:color w:val="auto"/>
        </w:rPr>
      </w:pPr>
      <w:r>
        <w:rPr>
          <w:color w:val="auto"/>
        </w:rPr>
        <w:lastRenderedPageBreak/>
        <w:t>Performance Summary</w:t>
      </w:r>
    </w:p>
    <w:p w:rsidR="002A03C0" w:rsidRDefault="00F56EC4">
      <w:pPr>
        <w:pStyle w:val="ESBodyText"/>
      </w:pPr>
      <w:r>
        <w:t>The Government School Performance Summary provides an overview of how this school is contributing to the objectives of the Education State and how it compares to other Victorian Government schools.</w:t>
      </w:r>
    </w:p>
    <w:p w:rsidR="002A03C0" w:rsidRDefault="00F56EC4">
      <w:pPr>
        <w:pStyle w:val="ESBodyText"/>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2A03C0" w:rsidRDefault="00F56EC4">
      <w:pPr>
        <w:pStyle w:val="ESBodyText"/>
      </w:pPr>
      <w:r>
        <w:t>Refer to the ‘How to read the Annual Report’ section for help on how to interpret this report.</w:t>
      </w:r>
    </w:p>
    <w:p w:rsidR="002A03C0" w:rsidRDefault="00F56EC4">
      <w:pPr>
        <w:pStyle w:val="ESHeading2"/>
        <w:rPr>
          <w:color w:val="00008B"/>
          <w:u w:val="single"/>
        </w:rPr>
      </w:pPr>
      <w:r>
        <w:rPr>
          <w:color w:val="00008B"/>
          <w:u w:val="single"/>
        </w:rPr>
        <w:t>School profile</w:t>
      </w:r>
    </w:p>
    <w:p w:rsidR="002A03C0" w:rsidRDefault="00F56EC4">
      <w:pPr>
        <w:pStyle w:val="ESBodyText"/>
        <w:ind w:left="709" w:hanging="709"/>
        <w:rPr>
          <w:b/>
          <w:i/>
        </w:rPr>
      </w:pPr>
      <w:r>
        <w:rPr>
          <w:b/>
          <w:i/>
        </w:rPr>
        <w:t>Key:</w:t>
      </w:r>
      <w:r>
        <w:rPr>
          <w:b/>
          <w:i/>
        </w:rPr>
        <w:tab/>
        <w:t>“Middle 60 percent low” to “middle 60 percent high” is the range of results for the middle 60 percent of Victorian Government primary school type.</w:t>
      </w:r>
    </w:p>
    <w:p w:rsidR="002A03C0" w:rsidRDefault="00F56EC4">
      <w:pPr>
        <w:pStyle w:val="ESImageorGraphTitle"/>
        <w:rPr>
          <w:color w:val="00008B"/>
        </w:rPr>
      </w:pPr>
      <w:r>
        <w:rPr>
          <w:color w:val="00008B"/>
        </w:rPr>
        <w:t>Enrolment Profile</w:t>
      </w:r>
    </w:p>
    <w:p w:rsidR="002A03C0" w:rsidRDefault="00F56EC4">
      <w:pPr>
        <w:pStyle w:val="ESBodyText"/>
      </w:pPr>
      <w:r>
        <w:t>A total of  584 students were enrolled at this school in 2018,  290 female and  294 male.</w:t>
      </w:r>
    </w:p>
    <w:p w:rsidR="002A03C0" w:rsidRDefault="00F56EC4">
      <w:pPr>
        <w:pStyle w:val="ESBodyText"/>
      </w:pPr>
      <w:r>
        <w:t>20 percent of students had English as an additional language and 1 percent were Aboriginal or Torres Strait Islander.</w:t>
      </w:r>
    </w:p>
    <w:p w:rsidR="002A03C0" w:rsidRDefault="00F34A83">
      <w:pPr>
        <w:pStyle w:val="ESBodyText"/>
        <w:rPr>
          <w:color w:val="00008B"/>
        </w:rPr>
      </w:pPr>
    </w:p>
    <w:p w:rsidR="002A03C0" w:rsidRDefault="00F56EC4">
      <w:pPr>
        <w:pStyle w:val="ESBodyText"/>
        <w:rPr>
          <w:rFonts w:eastAsiaTheme="majorEastAsia" w:cstheme="majorBidi"/>
          <w:b/>
          <w:bCs/>
          <w:color w:val="00008B"/>
          <w:szCs w:val="20"/>
        </w:rPr>
      </w:pPr>
      <w:r>
        <w:rPr>
          <w:rFonts w:eastAsiaTheme="majorEastAsia" w:cstheme="majorBidi"/>
          <w:b/>
          <w:bCs/>
          <w:color w:val="00008B"/>
          <w:szCs w:val="20"/>
        </w:rPr>
        <w:t>Overall Socio-Economic Profile</w:t>
      </w:r>
    </w:p>
    <w:p w:rsidR="002A03C0" w:rsidRDefault="00F56EC4">
      <w:pPr>
        <w:pStyle w:val="ESBodyText"/>
      </w:pPr>
      <w:r>
        <w:t>The overall school’s socio-economic profile is based on the school's Student Family Occupation and Education index (SFOE) which takes into account parents' occupations and education.</w:t>
      </w:r>
    </w:p>
    <w:p w:rsidR="002A03C0" w:rsidRDefault="00F56EC4">
      <w:pPr>
        <w:pStyle w:val="ESBodyText"/>
      </w:pPr>
      <w:r>
        <w:t>Possible socio-economic band values are: Low, Low-Medium, Medium and High.</w:t>
      </w:r>
    </w:p>
    <w:p w:rsidR="002A03C0" w:rsidRDefault="00F56EC4">
      <w:pPr>
        <w:pStyle w:val="ESBodyText"/>
      </w:pPr>
      <w:r>
        <w:t>This school’s socio-economic band value is: High</w:t>
      </w:r>
    </w:p>
    <w:p w:rsidR="002A03C0" w:rsidRDefault="00F34A83">
      <w:pPr>
        <w:pStyle w:val="ESBodyText"/>
      </w:pPr>
    </w:p>
    <w:p w:rsidR="002A03C0" w:rsidRDefault="00F56EC4">
      <w:pPr>
        <w:pStyle w:val="ESBodyText"/>
        <w:rPr>
          <w:rFonts w:eastAsiaTheme="majorEastAsia" w:cstheme="majorBidi"/>
          <w:b/>
          <w:bCs/>
          <w:color w:val="00008B"/>
          <w:szCs w:val="20"/>
        </w:rPr>
      </w:pPr>
      <w:r>
        <w:rPr>
          <w:rFonts w:eastAsiaTheme="majorEastAsia" w:cstheme="majorBidi"/>
          <w:b/>
          <w:bCs/>
          <w:color w:val="00008B"/>
          <w:szCs w:val="20"/>
        </w:rPr>
        <w:t>Parent Satisfaction Summary</w:t>
      </w:r>
    </w:p>
    <w:p w:rsidR="002A03C0" w:rsidRDefault="00F56EC4">
      <w:pPr>
        <w:rPr>
          <w:rFonts w:eastAsia="MS Mincho"/>
        </w:rPr>
      </w:pPr>
      <w:r>
        <w:rPr>
          <w:rFonts w:eastAsia="MS Mincho"/>
        </w:rPr>
        <w:t>The percent endorsement by parents on their school satisfaction level as reported in the annual Parent Opinion Survey.</w:t>
      </w:r>
    </w:p>
    <w:p w:rsidR="002A03C0" w:rsidRDefault="00F56EC4">
      <w:pPr>
        <w:spacing w:after="240"/>
      </w:pPr>
      <w:r>
        <w:rPr>
          <w:rFonts w:eastAsia="MS Mincho"/>
        </w:rPr>
        <w:t>Percent endorsement indicates the percent of positive responses (agree or strongly agree) from parents who responded to the survey.</w:t>
      </w:r>
    </w:p>
    <w:tbl>
      <w:tblPr>
        <w:tblStyle w:val="GridTable2-Accent61"/>
        <w:tblW w:w="4853" w:type="pct"/>
        <w:jc w:val="center"/>
        <w:tblLook w:val="04A0" w:firstRow="1" w:lastRow="0" w:firstColumn="1" w:lastColumn="0" w:noHBand="0" w:noVBand="1"/>
        <w:tblCaption w:val="Parent Opinion survey results"/>
      </w:tblPr>
      <w:tblGrid>
        <w:gridCol w:w="4107"/>
        <w:gridCol w:w="1586"/>
        <w:gridCol w:w="1586"/>
        <w:gridCol w:w="1586"/>
        <w:gridCol w:w="1584"/>
      </w:tblGrid>
      <w:tr w:rsidR="00D40B4D" w:rsidTr="00D40B4D">
        <w:trPr>
          <w:cnfStyle w:val="100000000000" w:firstRow="1" w:lastRow="0" w:firstColumn="0" w:lastColumn="0" w:oddVBand="0" w:evenVBand="0" w:oddHBand="0" w:evenHBand="0" w:firstRowFirstColumn="0" w:firstRowLastColumn="0" w:lastRowFirstColumn="0" w:lastRowLastColumn="0"/>
          <w:trHeight w:val="445"/>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bottom w:val="single" w:sz="12" w:space="0" w:color="FFFFFF"/>
            </w:tcBorders>
            <w:shd w:val="clear" w:color="auto" w:fill="106CB5"/>
            <w:vAlign w:val="center"/>
            <w:hideMark/>
          </w:tcPr>
          <w:p w:rsidR="002A03C0" w:rsidRDefault="00F56EC4">
            <w:pPr>
              <w:spacing w:before="40" w:after="40" w:line="240" w:lineRule="auto"/>
              <w:rPr>
                <w:rFonts w:cs="Times New Roman"/>
                <w:color w:val="FFFFFF"/>
                <w:szCs w:val="22"/>
              </w:rPr>
            </w:pPr>
            <w:bookmarkStart w:id="1" w:name="Table_1"/>
            <w:r>
              <w:rPr>
                <w:rFonts w:cs="Times New Roman"/>
                <w:color w:val="FFFFFF"/>
                <w:szCs w:val="22"/>
              </w:rPr>
              <w:t>Parent Satisfaction</w:t>
            </w:r>
          </w:p>
        </w:tc>
        <w:tc>
          <w:tcPr>
            <w:tcW w:w="759"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759"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759"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759"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D40B4D" w:rsidTr="00D40B4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12" w:space="0" w:color="FFFFFF"/>
              <w:bottom w:val="single" w:sz="2" w:space="0" w:color="106CB5"/>
            </w:tcBorders>
            <w:shd w:val="clear" w:color="auto" w:fill="FFFFFF"/>
            <w:noWrap/>
            <w:vAlign w:val="center"/>
          </w:tcPr>
          <w:p w:rsidR="002A03C0" w:rsidRDefault="00F34A83">
            <w:pPr>
              <w:spacing w:before="40" w:after="40" w:line="240" w:lineRule="auto"/>
              <w:rPr>
                <w:rFonts w:cs="Times New Roman"/>
                <w:szCs w:val="22"/>
              </w:rPr>
            </w:pPr>
          </w:p>
        </w:tc>
        <w:tc>
          <w:tcPr>
            <w:tcW w:w="759"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2" w:space="0" w:color="106CB5"/>
              <w:bottom w:val="single" w:sz="2" w:space="0" w:color="106CB5"/>
            </w:tcBorders>
            <w:shd w:val="clear" w:color="auto" w:fill="D9D9D9"/>
            <w:noWrap/>
            <w:vAlign w:val="center"/>
            <w:hideMark/>
          </w:tcPr>
          <w:p w:rsidR="002A03C0" w:rsidRDefault="00F56EC4">
            <w:pPr>
              <w:spacing w:before="40" w:after="40" w:line="240" w:lineRule="auto"/>
              <w:rPr>
                <w:rFonts w:cs="Times New Roman"/>
                <w:szCs w:val="22"/>
              </w:rPr>
            </w:pPr>
            <w:r>
              <w:rPr>
                <w:rFonts w:cs="Times New Roman"/>
                <w:szCs w:val="22"/>
                <w:lang w:val="en-US"/>
              </w:rPr>
              <w:t>Percent endorsement (latest year)</w:t>
            </w:r>
          </w:p>
        </w:tc>
        <w:tc>
          <w:tcPr>
            <w:tcW w:w="759" w:type="pct"/>
            <w:tcBorders>
              <w:top w:val="single" w:sz="2" w:space="0" w:color="106CB5"/>
              <w:bottom w:val="single" w:sz="2" w:space="0" w:color="106CB5"/>
            </w:tcBorders>
            <w:shd w:val="clear" w:color="auto" w:fill="D9D9D9"/>
            <w:noWrap/>
            <w:vAlign w:val="center"/>
          </w:tcPr>
          <w:p w:rsidR="002A03C0" w:rsidRDefault="00F56EC4" w:rsidP="000573C0">
            <w:pPr>
              <w:jc w:val="right"/>
              <w:cnfStyle w:val="000000100000" w:firstRow="0" w:lastRow="0" w:firstColumn="0" w:lastColumn="0" w:oddVBand="0" w:evenVBand="0" w:oddHBand="1" w:evenHBand="0" w:firstRowFirstColumn="0" w:firstRowLastColumn="0" w:lastRowFirstColumn="0" w:lastRowLastColumn="0"/>
            </w:pPr>
            <w:r>
              <w:t xml:space="preserve"> 75.3</w:t>
            </w:r>
          </w:p>
        </w:tc>
        <w:tc>
          <w:tcPr>
            <w:tcW w:w="759" w:type="pct"/>
            <w:tcBorders>
              <w:top w:val="single" w:sz="2" w:space="0" w:color="106CB5"/>
              <w:bottom w:val="single" w:sz="2" w:space="0" w:color="106CB5"/>
            </w:tcBorders>
            <w:shd w:val="clear" w:color="auto" w:fill="D9D9D9"/>
            <w:noWrap/>
            <w:vAlign w:val="center"/>
          </w:tcPr>
          <w:p w:rsidR="002A03C0" w:rsidRDefault="00F56EC4" w:rsidP="000573C0">
            <w:pPr>
              <w:jc w:val="right"/>
              <w:cnfStyle w:val="000000100000" w:firstRow="0" w:lastRow="0" w:firstColumn="0" w:lastColumn="0" w:oddVBand="0" w:evenVBand="0" w:oddHBand="1" w:evenHBand="0" w:firstRowFirstColumn="0" w:firstRowLastColumn="0" w:lastRowFirstColumn="0" w:lastRowLastColumn="0"/>
            </w:pPr>
            <w:r>
              <w:t xml:space="preserve"> 85.1</w:t>
            </w:r>
          </w:p>
        </w:tc>
        <w:tc>
          <w:tcPr>
            <w:tcW w:w="759" w:type="pct"/>
            <w:tcBorders>
              <w:top w:val="single" w:sz="2" w:space="0" w:color="106CB5"/>
              <w:bottom w:val="single" w:sz="2" w:space="0" w:color="106CB5"/>
            </w:tcBorders>
            <w:shd w:val="clear" w:color="auto" w:fill="D9D9D9"/>
            <w:vAlign w:val="center"/>
          </w:tcPr>
          <w:p w:rsidR="002A03C0" w:rsidRDefault="00F56EC4" w:rsidP="000573C0">
            <w:pPr>
              <w:jc w:val="right"/>
              <w:cnfStyle w:val="000000100000" w:firstRow="0" w:lastRow="0" w:firstColumn="0" w:lastColumn="0" w:oddVBand="0" w:evenVBand="0" w:oddHBand="1" w:evenHBand="0" w:firstRowFirstColumn="0" w:firstRowLastColumn="0" w:lastRowFirstColumn="0" w:lastRowLastColumn="0"/>
            </w:pPr>
            <w:r>
              <w:t xml:space="preserve"> 78.3</w:t>
            </w:r>
          </w:p>
        </w:tc>
        <w:tc>
          <w:tcPr>
            <w:tcW w:w="759" w:type="pct"/>
            <w:tcBorders>
              <w:top w:val="single" w:sz="2" w:space="0" w:color="106CB5"/>
              <w:bottom w:val="single" w:sz="2" w:space="0" w:color="106CB5"/>
            </w:tcBorders>
            <w:shd w:val="clear" w:color="auto" w:fill="D9D9D9"/>
            <w:noWrap/>
            <w:vAlign w:val="center"/>
          </w:tcPr>
          <w:p w:rsidR="002A03C0" w:rsidRDefault="00F56EC4" w:rsidP="000573C0">
            <w:pPr>
              <w:jc w:val="right"/>
              <w:cnfStyle w:val="000000100000" w:firstRow="0" w:lastRow="0" w:firstColumn="0" w:lastColumn="0" w:oddVBand="0" w:evenVBand="0" w:oddHBand="1" w:evenHBand="0" w:firstRowFirstColumn="0" w:firstRowLastColumn="0" w:lastRowFirstColumn="0" w:lastRowLastColumn="0"/>
            </w:pPr>
            <w:r>
              <w:t xml:space="preserve"> 91.6</w:t>
            </w:r>
          </w:p>
        </w:tc>
      </w:tr>
      <w:bookmarkEnd w:id="1"/>
    </w:tbl>
    <w:p w:rsidR="002A03C0" w:rsidRDefault="00F34A83">
      <w:pPr>
        <w:pStyle w:val="ESBodyText"/>
      </w:pPr>
    </w:p>
    <w:p w:rsidR="002A03C0" w:rsidRDefault="00F34A83">
      <w:pPr>
        <w:pStyle w:val="ESBodyText"/>
      </w:pPr>
    </w:p>
    <w:p w:rsidR="002A03C0" w:rsidRDefault="00F56EC4">
      <w:pPr>
        <w:pStyle w:val="ESBodyText"/>
        <w:rPr>
          <w:rFonts w:eastAsiaTheme="majorEastAsia" w:cstheme="majorBidi"/>
          <w:b/>
          <w:bCs/>
          <w:color w:val="00008B"/>
          <w:szCs w:val="20"/>
        </w:rPr>
      </w:pPr>
      <w:r>
        <w:rPr>
          <w:rFonts w:eastAsiaTheme="majorEastAsia" w:cstheme="majorBidi"/>
          <w:b/>
          <w:bCs/>
          <w:color w:val="00008B"/>
          <w:szCs w:val="20"/>
        </w:rPr>
        <w:t>School Staff Survey</w:t>
      </w:r>
    </w:p>
    <w:p w:rsidR="002A03C0" w:rsidRDefault="00F56EC4">
      <w:pPr>
        <w:pStyle w:val="ESBodyText"/>
      </w:pPr>
      <w:r>
        <w:t>The percent endorsement by staff on School Climate, as reported in the annual School Staff Survey.</w:t>
      </w:r>
    </w:p>
    <w:p w:rsidR="002A03C0" w:rsidRDefault="00F56EC4">
      <w:pPr>
        <w:pStyle w:val="ESBodyText"/>
      </w:pPr>
      <w:r>
        <w:t>Percent endorsement indicates the percent of positive responses (agree or strongly agree) from staff who responded to the survey.</w:t>
      </w:r>
    </w:p>
    <w:p w:rsidR="002A03C0" w:rsidRDefault="00F56EC4">
      <w:pPr>
        <w:pStyle w:val="ESBodyText"/>
        <w:spacing w:after="240"/>
      </w:pPr>
      <w:r>
        <w:t>Data is suppressed for schools with three or less respondents to the survey for confidentiality reasons.</w:t>
      </w:r>
    </w:p>
    <w:tbl>
      <w:tblPr>
        <w:tblStyle w:val="GridTable2-Accent61"/>
        <w:tblW w:w="4853" w:type="pct"/>
        <w:jc w:val="center"/>
        <w:tblLook w:val="04A0" w:firstRow="1" w:lastRow="0" w:firstColumn="1" w:lastColumn="0" w:noHBand="0" w:noVBand="1"/>
        <w:tblCaption w:val="School staff survey results"/>
      </w:tblPr>
      <w:tblGrid>
        <w:gridCol w:w="3702"/>
        <w:gridCol w:w="1687"/>
        <w:gridCol w:w="1687"/>
        <w:gridCol w:w="1687"/>
        <w:gridCol w:w="1686"/>
      </w:tblGrid>
      <w:tr w:rsidR="00D40B4D" w:rsidTr="00D40B4D">
        <w:trPr>
          <w:cnfStyle w:val="100000000000" w:firstRow="1" w:lastRow="0" w:firstColumn="0" w:lastColumn="0" w:oddVBand="0" w:evenVBand="0" w:oddHBand="0" w:evenHBand="0" w:firstRowFirstColumn="0" w:firstRowLastColumn="0" w:lastRowFirstColumn="0" w:lastRowLastColumn="0"/>
          <w:trHeight w:val="419"/>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bottom w:val="single" w:sz="12" w:space="0" w:color="FFFFFF"/>
            </w:tcBorders>
            <w:shd w:val="clear" w:color="auto" w:fill="106CB5"/>
            <w:vAlign w:val="center"/>
            <w:hideMark/>
          </w:tcPr>
          <w:p w:rsidR="002A03C0" w:rsidRDefault="00F56EC4">
            <w:pPr>
              <w:spacing w:before="40" w:after="40" w:line="240" w:lineRule="auto"/>
              <w:rPr>
                <w:rFonts w:cs="Times New Roman"/>
                <w:color w:val="FFFFFF"/>
                <w:szCs w:val="22"/>
              </w:rPr>
            </w:pPr>
            <w:r>
              <w:rPr>
                <w:rFonts w:cs="Times New Roman"/>
                <w:color w:val="FFFFFF"/>
                <w:szCs w:val="22"/>
              </w:rPr>
              <w:t>School Climate</w:t>
            </w:r>
          </w:p>
        </w:tc>
        <w:tc>
          <w:tcPr>
            <w:tcW w:w="807"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807"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807"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807"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D40B4D" w:rsidTr="00D40B4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12" w:space="0" w:color="FFFFFF"/>
              <w:bottom w:val="single" w:sz="2" w:space="0" w:color="106CB5"/>
            </w:tcBorders>
            <w:shd w:val="clear" w:color="auto" w:fill="FFFFFF"/>
            <w:noWrap/>
            <w:vAlign w:val="center"/>
          </w:tcPr>
          <w:p w:rsidR="002A03C0" w:rsidRDefault="00F34A83">
            <w:pPr>
              <w:spacing w:before="40" w:after="40" w:line="240" w:lineRule="auto"/>
              <w:rPr>
                <w:rFonts w:cs="Times New Roman"/>
                <w:szCs w:val="22"/>
              </w:rPr>
            </w:pPr>
          </w:p>
        </w:tc>
        <w:tc>
          <w:tcPr>
            <w:tcW w:w="807"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2" w:space="0" w:color="106CB5"/>
              <w:bottom w:val="single" w:sz="2" w:space="0" w:color="106CB5"/>
            </w:tcBorders>
            <w:shd w:val="clear" w:color="auto" w:fill="D9D9D9"/>
            <w:noWrap/>
            <w:vAlign w:val="center"/>
            <w:hideMark/>
          </w:tcPr>
          <w:p w:rsidR="002A03C0" w:rsidRDefault="00F56EC4">
            <w:pPr>
              <w:spacing w:before="40" w:after="40" w:line="240" w:lineRule="auto"/>
              <w:rPr>
                <w:rFonts w:cs="Times New Roman"/>
                <w:szCs w:val="22"/>
              </w:rPr>
            </w:pPr>
            <w:r>
              <w:rPr>
                <w:rFonts w:cs="Times New Roman"/>
                <w:szCs w:val="22"/>
              </w:rPr>
              <w:t>Percent endorsement (latest year)</w:t>
            </w:r>
          </w:p>
        </w:tc>
        <w:tc>
          <w:tcPr>
            <w:tcW w:w="807" w:type="pct"/>
            <w:tcBorders>
              <w:top w:val="single" w:sz="2" w:space="0" w:color="106CB5"/>
              <w:bottom w:val="single" w:sz="2" w:space="0" w:color="106CB5"/>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66.4</w:t>
            </w:r>
          </w:p>
        </w:tc>
        <w:tc>
          <w:tcPr>
            <w:tcW w:w="807" w:type="pct"/>
            <w:tcBorders>
              <w:top w:val="single" w:sz="2" w:space="0" w:color="106CB5"/>
              <w:bottom w:val="single" w:sz="2" w:space="0" w:color="106CB5"/>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77.7</w:t>
            </w:r>
          </w:p>
        </w:tc>
        <w:tc>
          <w:tcPr>
            <w:tcW w:w="807" w:type="pct"/>
            <w:tcBorders>
              <w:top w:val="single" w:sz="2" w:space="0" w:color="106CB5"/>
              <w:bottom w:val="single" w:sz="2" w:space="0" w:color="106CB5"/>
            </w:tcBorders>
            <w:shd w:val="clear" w:color="auto" w:fill="D9D9D9"/>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66.6</w:t>
            </w:r>
          </w:p>
        </w:tc>
        <w:tc>
          <w:tcPr>
            <w:tcW w:w="807" w:type="pct"/>
            <w:tcBorders>
              <w:top w:val="single" w:sz="2" w:space="0" w:color="106CB5"/>
              <w:bottom w:val="single" w:sz="2" w:space="0" w:color="106CB5"/>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86.7</w:t>
            </w:r>
          </w:p>
        </w:tc>
      </w:tr>
    </w:tbl>
    <w:p w:rsidR="002A03C0" w:rsidRDefault="00F56EC4">
      <w:pPr>
        <w:spacing w:after="0" w:line="240" w:lineRule="auto"/>
        <w:rPr>
          <w:rFonts w:eastAsiaTheme="majorEastAsia" w:cstheme="majorBidi"/>
          <w:b/>
          <w:bCs/>
          <w:caps/>
          <w:color w:val="AF272F"/>
          <w:sz w:val="20"/>
          <w:szCs w:val="20"/>
        </w:rPr>
      </w:pPr>
      <w:r>
        <w:br w:type="page"/>
      </w:r>
    </w:p>
    <w:p w:rsidR="002A03C0" w:rsidRDefault="00F56EC4">
      <w:pPr>
        <w:pStyle w:val="ESBodyText"/>
        <w:ind w:left="567" w:hanging="567"/>
        <w:rPr>
          <w:b/>
          <w:i/>
        </w:rPr>
      </w:pPr>
      <w:r>
        <w:rPr>
          <w:b/>
          <w:i/>
        </w:rPr>
        <w:lastRenderedPageBreak/>
        <w:t>Key:</w:t>
      </w:r>
      <w:r>
        <w:rPr>
          <w:b/>
          <w:i/>
        </w:rPr>
        <w:tab/>
        <w:t>“Middle 60 percent low” to “middle 60 percent high” is the range of results for the middle 60 percent of Victorian Government primary year levels.</w:t>
      </w:r>
    </w:p>
    <w:p w:rsidR="002A03C0" w:rsidRDefault="00F56EC4">
      <w:pPr>
        <w:pStyle w:val="ESBodyText"/>
        <w:ind w:left="567"/>
        <w:rPr>
          <w:b/>
          <w:i/>
        </w:rPr>
      </w:pPr>
      <w:r>
        <w:rPr>
          <w:b/>
          <w:i/>
        </w:rPr>
        <w:t>“School Comparison” is a way of comparing school performance that takes into account the different student intake characteristics of each school. Possible School Comparison values are ‘Lower’ (lower than expected), ‘Similar’ (as expected) or ‘Higher’ (higher than expected).</w:t>
      </w:r>
    </w:p>
    <w:p w:rsidR="002A03C0" w:rsidRDefault="00F56EC4">
      <w:pPr>
        <w:pStyle w:val="ESHeading2"/>
        <w:rPr>
          <w:color w:val="00008B"/>
          <w:u w:val="single"/>
        </w:rPr>
      </w:pPr>
      <w:r>
        <w:rPr>
          <w:color w:val="00008B"/>
          <w:u w:val="single"/>
        </w:rPr>
        <w:t>Achievement</w:t>
      </w:r>
    </w:p>
    <w:p w:rsidR="002A03C0" w:rsidRDefault="00F56EC4">
      <w:pPr>
        <w:pStyle w:val="ESBodyText"/>
        <w:rPr>
          <w:rFonts w:eastAsiaTheme="majorEastAsia" w:cstheme="majorBidi"/>
          <w:b/>
          <w:bCs/>
          <w:color w:val="00008B"/>
          <w:szCs w:val="20"/>
        </w:rPr>
      </w:pPr>
      <w:r>
        <w:rPr>
          <w:rFonts w:eastAsiaTheme="majorEastAsia" w:cstheme="majorBidi"/>
          <w:b/>
          <w:bCs/>
          <w:color w:val="00008B"/>
          <w:szCs w:val="20"/>
        </w:rPr>
        <w:t>Teacher Judgement of student achievement</w:t>
      </w:r>
    </w:p>
    <w:p w:rsidR="002A03C0" w:rsidRDefault="00F56EC4">
      <w:pPr>
        <w:pStyle w:val="ESBodyText"/>
      </w:pPr>
      <w:r>
        <w:t>Percentage of students in year levels Prep to 6 working at or above age expected standards in:</w:t>
      </w:r>
    </w:p>
    <w:p w:rsidR="002A03C0" w:rsidRDefault="00F56EC4">
      <w:pPr>
        <w:pStyle w:val="ESBodyText"/>
        <w:numPr>
          <w:ilvl w:val="0"/>
          <w:numId w:val="27"/>
        </w:numPr>
      </w:pPr>
      <w:r>
        <w:t>English</w:t>
      </w:r>
    </w:p>
    <w:p w:rsidR="002A03C0" w:rsidRDefault="00F56EC4">
      <w:pPr>
        <w:pStyle w:val="ESBodyText"/>
        <w:numPr>
          <w:ilvl w:val="0"/>
          <w:numId w:val="27"/>
        </w:numPr>
      </w:pPr>
      <w:r>
        <w:t>Mathematics</w:t>
      </w:r>
    </w:p>
    <w:p w:rsidR="002A03C0" w:rsidRDefault="00F34A83">
      <w:pPr>
        <w:pStyle w:val="ESBodyText"/>
      </w:pPr>
    </w:p>
    <w:tbl>
      <w:tblPr>
        <w:tblStyle w:val="GridTable2-Accent61"/>
        <w:tblW w:w="4850" w:type="pct"/>
        <w:jc w:val="center"/>
        <w:tblLook w:val="04A0" w:firstRow="1" w:lastRow="0" w:firstColumn="1" w:lastColumn="0" w:noHBand="0" w:noVBand="1"/>
        <w:tblCaption w:val="Teacher judgement of student achievement"/>
      </w:tblPr>
      <w:tblGrid>
        <w:gridCol w:w="4154"/>
        <w:gridCol w:w="1255"/>
        <w:gridCol w:w="1255"/>
        <w:gridCol w:w="1256"/>
        <w:gridCol w:w="1256"/>
        <w:gridCol w:w="1267"/>
      </w:tblGrid>
      <w:tr w:rsidR="00D40B4D" w:rsidTr="00D40B4D">
        <w:trPr>
          <w:cnfStyle w:val="100000000000" w:firstRow="1" w:lastRow="0" w:firstColumn="0" w:lastColumn="0" w:oddVBand="0" w:evenVBand="0" w:oddHBand="0" w:evenHBand="0" w:firstRowFirstColumn="0" w:firstRowLastColumn="0" w:lastRowFirstColumn="0" w:lastRowLastColumn="0"/>
          <w:trHeight w:val="619"/>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bottom w:val="single" w:sz="12" w:space="0" w:color="FFFFFF"/>
            </w:tcBorders>
            <w:shd w:val="clear" w:color="auto" w:fill="106CB5"/>
            <w:vAlign w:val="center"/>
            <w:hideMark/>
          </w:tcPr>
          <w:p w:rsidR="002A03C0" w:rsidRDefault="00F56EC4">
            <w:pPr>
              <w:spacing w:before="40" w:after="40" w:line="240" w:lineRule="auto"/>
              <w:rPr>
                <w:rFonts w:cs="Times New Roman"/>
                <w:color w:val="FFFFFF"/>
                <w:szCs w:val="22"/>
              </w:rPr>
            </w:pPr>
            <w:r>
              <w:rPr>
                <w:rFonts w:cs="Times New Roman"/>
                <w:color w:val="FFFFFF"/>
                <w:szCs w:val="22"/>
              </w:rPr>
              <w:t>Teacher Judgments at or above age expected standards (latest year)</w:t>
            </w:r>
          </w:p>
        </w:tc>
        <w:tc>
          <w:tcPr>
            <w:tcW w:w="602"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02"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02"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02"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02"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D40B4D" w:rsidTr="00D40B4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rPr>
                <w:rFonts w:cs="Times New Roman"/>
                <w:szCs w:val="22"/>
              </w:rPr>
            </w:pPr>
            <w:r>
              <w:rPr>
                <w:rFonts w:cs="Times New Roman"/>
                <w:szCs w:val="22"/>
              </w:rPr>
              <w:t>Domain</w:t>
            </w:r>
          </w:p>
        </w:tc>
        <w:tc>
          <w:tcPr>
            <w:tcW w:w="602"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2A03C0" w:rsidRDefault="00F34A8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D9D9D9"/>
            <w:noWrap/>
            <w:vAlign w:val="center"/>
          </w:tcPr>
          <w:p w:rsidR="002A03C0" w:rsidRDefault="00F56EC4">
            <w:pPr>
              <w:spacing w:before="40" w:after="40" w:line="240" w:lineRule="auto"/>
              <w:rPr>
                <w:rFonts w:cs="Times New Roman"/>
                <w:szCs w:val="22"/>
              </w:rPr>
            </w:pPr>
            <w:r>
              <w:rPr>
                <w:rFonts w:cs="Times New Roman"/>
                <w:b w:val="0"/>
                <w:szCs w:val="22"/>
              </w:rPr>
              <w:t>English</w:t>
            </w:r>
          </w:p>
        </w:tc>
        <w:tc>
          <w:tcPr>
            <w:tcW w:w="602" w:type="pct"/>
            <w:tcBorders>
              <w:top w:val="single" w:sz="2" w:space="0" w:color="106CB5"/>
              <w:bottom w:val="single" w:sz="2" w:space="0" w:color="106CB5"/>
            </w:tcBorders>
            <w:shd w:val="clear" w:color="auto" w:fill="D9D9D9"/>
            <w:noWrap/>
            <w:vAlign w:val="bottom"/>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98.0</w:t>
            </w:r>
          </w:p>
        </w:tc>
        <w:tc>
          <w:tcPr>
            <w:tcW w:w="602" w:type="pct"/>
            <w:tcBorders>
              <w:top w:val="single" w:sz="2" w:space="0" w:color="106CB5"/>
              <w:bottom w:val="single" w:sz="2" w:space="0" w:color="106CB5"/>
            </w:tcBorders>
            <w:shd w:val="clear" w:color="auto" w:fill="D9D9D9"/>
            <w:noWrap/>
            <w:vAlign w:val="bottom"/>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90.1</w:t>
            </w:r>
          </w:p>
        </w:tc>
        <w:tc>
          <w:tcPr>
            <w:tcW w:w="602" w:type="pct"/>
            <w:tcBorders>
              <w:top w:val="single" w:sz="2" w:space="0" w:color="106CB5"/>
              <w:bottom w:val="single" w:sz="2" w:space="0" w:color="106CB5"/>
            </w:tcBorders>
            <w:shd w:val="clear" w:color="auto" w:fill="D9D9D9"/>
            <w:vAlign w:val="bottom"/>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82.6</w:t>
            </w:r>
          </w:p>
        </w:tc>
        <w:tc>
          <w:tcPr>
            <w:tcW w:w="602" w:type="pct"/>
            <w:tcBorders>
              <w:top w:val="single" w:sz="2" w:space="0" w:color="106CB5"/>
              <w:bottom w:val="single" w:sz="2" w:space="0" w:color="106CB5"/>
            </w:tcBorders>
            <w:shd w:val="clear" w:color="auto" w:fill="D9D9D9"/>
            <w:noWrap/>
            <w:vAlign w:val="bottom"/>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95.3</w:t>
            </w:r>
          </w:p>
        </w:tc>
        <w:tc>
          <w:tcPr>
            <w:tcW w:w="602" w:type="pct"/>
            <w:tcBorders>
              <w:top w:val="single" w:sz="2" w:space="0" w:color="106CB5"/>
              <w:bottom w:val="single" w:sz="2" w:space="0" w:color="106CB5"/>
            </w:tcBorders>
            <w:shd w:val="clear" w:color="auto" w:fill="D9D9D9"/>
            <w:vAlign w:val="bottom"/>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Similar</w:t>
            </w:r>
          </w:p>
        </w:tc>
      </w:tr>
      <w:tr w:rsidR="00D40B4D" w:rsidTr="00D40B4D">
        <w:trP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auto"/>
            <w:noWrap/>
            <w:vAlign w:val="center"/>
            <w:hideMark/>
          </w:tcPr>
          <w:p w:rsidR="002A03C0" w:rsidRDefault="00F56EC4">
            <w:pPr>
              <w:spacing w:before="40" w:after="40" w:line="240" w:lineRule="auto"/>
              <w:rPr>
                <w:rFonts w:cs="Times New Roman"/>
                <w:szCs w:val="22"/>
              </w:rPr>
            </w:pPr>
            <w:r>
              <w:rPr>
                <w:rFonts w:cs="Times New Roman"/>
                <w:b w:val="0"/>
                <w:szCs w:val="22"/>
              </w:rPr>
              <w:t>Mathematics</w:t>
            </w:r>
          </w:p>
        </w:tc>
        <w:tc>
          <w:tcPr>
            <w:tcW w:w="602" w:type="pct"/>
            <w:tcBorders>
              <w:top w:val="single" w:sz="2" w:space="0" w:color="106CB5"/>
              <w:bottom w:val="single" w:sz="2" w:space="0" w:color="106CB5"/>
            </w:tcBorders>
            <w:shd w:val="clear" w:color="auto" w:fill="auto"/>
            <w:noWrap/>
            <w:vAlign w:val="bottom"/>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98.1</w:t>
            </w:r>
          </w:p>
        </w:tc>
        <w:tc>
          <w:tcPr>
            <w:tcW w:w="602" w:type="pct"/>
            <w:tcBorders>
              <w:top w:val="single" w:sz="2" w:space="0" w:color="106CB5"/>
              <w:bottom w:val="single" w:sz="2" w:space="0" w:color="106CB5"/>
            </w:tcBorders>
            <w:shd w:val="clear" w:color="auto" w:fill="auto"/>
            <w:noWrap/>
            <w:vAlign w:val="bottom"/>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91.1</w:t>
            </w:r>
          </w:p>
        </w:tc>
        <w:tc>
          <w:tcPr>
            <w:tcW w:w="602" w:type="pct"/>
            <w:tcBorders>
              <w:top w:val="single" w:sz="2" w:space="0" w:color="106CB5"/>
              <w:bottom w:val="single" w:sz="2" w:space="0" w:color="106CB5"/>
            </w:tcBorders>
            <w:shd w:val="clear" w:color="auto" w:fill="auto"/>
            <w:vAlign w:val="bottom"/>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84.0</w:t>
            </w:r>
          </w:p>
        </w:tc>
        <w:tc>
          <w:tcPr>
            <w:tcW w:w="602" w:type="pct"/>
            <w:tcBorders>
              <w:top w:val="single" w:sz="2" w:space="0" w:color="106CB5"/>
              <w:bottom w:val="single" w:sz="2" w:space="0" w:color="106CB5"/>
            </w:tcBorders>
            <w:shd w:val="clear" w:color="auto" w:fill="auto"/>
            <w:noWrap/>
            <w:vAlign w:val="bottom"/>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96.4</w:t>
            </w:r>
          </w:p>
        </w:tc>
        <w:tc>
          <w:tcPr>
            <w:tcW w:w="602" w:type="pct"/>
            <w:tcBorders>
              <w:top w:val="single" w:sz="2" w:space="0" w:color="106CB5"/>
              <w:bottom w:val="single" w:sz="2" w:space="0" w:color="106CB5"/>
            </w:tcBorders>
            <w:vAlign w:val="bottom"/>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F34A83">
      <w:pPr>
        <w:pStyle w:val="ESBodyText"/>
      </w:pPr>
    </w:p>
    <w:p w:rsidR="002A03C0" w:rsidRDefault="00F56EC4">
      <w:pPr>
        <w:pStyle w:val="ESBodyText"/>
        <w:rPr>
          <w:rFonts w:eastAsiaTheme="majorEastAsia" w:cstheme="majorBidi"/>
          <w:b/>
          <w:bCs/>
          <w:color w:val="00008B"/>
          <w:szCs w:val="20"/>
        </w:rPr>
      </w:pPr>
      <w:r>
        <w:rPr>
          <w:rFonts w:eastAsiaTheme="majorEastAsia" w:cstheme="majorBidi"/>
          <w:b/>
          <w:bCs/>
          <w:color w:val="00008B"/>
          <w:szCs w:val="20"/>
        </w:rPr>
        <w:t>NAPLAN Year 3 and Year 5</w:t>
      </w:r>
    </w:p>
    <w:p w:rsidR="002A03C0" w:rsidRDefault="00F56EC4">
      <w:pPr>
        <w:pStyle w:val="ESBodyText"/>
      </w:pPr>
      <w:r>
        <w:t>The percentage of students in the top three bands of testing in NAPLAN at year levels 3 and 5.</w:t>
      </w:r>
    </w:p>
    <w:p w:rsidR="002A03C0" w:rsidRDefault="00F56EC4">
      <w:pPr>
        <w:pStyle w:val="ESBodyText"/>
      </w:pPr>
      <w:r>
        <w:t>Year 3 assessments are reported on a scale from Bands 1 to 6.</w:t>
      </w:r>
    </w:p>
    <w:p w:rsidR="002A03C0" w:rsidRDefault="00F56EC4">
      <w:pPr>
        <w:pStyle w:val="ESBodyText"/>
      </w:pPr>
      <w:r>
        <w:rPr>
          <w:rFonts w:eastAsia="Arial"/>
          <w:color w:val="000000"/>
        </w:rPr>
        <w:t>Year 5 assessments are reported on a scale from Bands 3 to 8.</w:t>
      </w:r>
    </w:p>
    <w:tbl>
      <w:tblPr>
        <w:tblStyle w:val="GridTable2-Accent611"/>
        <w:tblW w:w="10628" w:type="dxa"/>
        <w:jc w:val="center"/>
        <w:tblLayout w:type="fixed"/>
        <w:tblLook w:val="04A0" w:firstRow="1" w:lastRow="0" w:firstColumn="1" w:lastColumn="0" w:noHBand="0" w:noVBand="1"/>
        <w:tblCaption w:val="NAPLAN results - Year 3, Year 5, Year 7 and Year 9"/>
      </w:tblPr>
      <w:tblGrid>
        <w:gridCol w:w="2058"/>
        <w:gridCol w:w="2551"/>
        <w:gridCol w:w="1169"/>
        <w:gridCol w:w="1170"/>
        <w:gridCol w:w="1169"/>
        <w:gridCol w:w="1170"/>
        <w:gridCol w:w="1341"/>
      </w:tblGrid>
      <w:tr w:rsidR="00D40B4D" w:rsidTr="00D40B4D">
        <w:trPr>
          <w:cnfStyle w:val="100000000000" w:firstRow="1" w:lastRow="0" w:firstColumn="0" w:lastColumn="0" w:oddVBand="0" w:evenVBand="0" w:oddHBand="0" w:evenHBand="0" w:firstRowFirstColumn="0" w:firstRowLastColumn="0" w:lastRowFirstColumn="0" w:lastRowLastColumn="0"/>
          <w:trHeight w:val="611"/>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12" w:space="0" w:color="FFFFFF"/>
            </w:tcBorders>
            <w:shd w:val="clear" w:color="auto" w:fill="106CB5"/>
            <w:vAlign w:val="center"/>
          </w:tcPr>
          <w:p w:rsidR="002A03C0" w:rsidRDefault="00F56EC4">
            <w:pPr>
              <w:spacing w:before="40" w:after="40" w:line="240" w:lineRule="auto"/>
              <w:rPr>
                <w:rFonts w:cs="Times New Roman"/>
                <w:color w:val="FFFFFF"/>
                <w:szCs w:val="22"/>
              </w:rPr>
            </w:pPr>
            <w:r>
              <w:rPr>
                <w:rFonts w:cs="Times New Roman"/>
                <w:bCs w:val="0"/>
                <w:color w:val="FFFFFF"/>
                <w:szCs w:val="22"/>
              </w:rPr>
              <w:t>NAPLAN top 3 bands</w:t>
            </w:r>
          </w:p>
          <w:p w:rsidR="002A03C0" w:rsidRDefault="00F56EC4">
            <w:pPr>
              <w:spacing w:before="40" w:after="40" w:line="240" w:lineRule="auto"/>
              <w:rPr>
                <w:rFonts w:cs="Times New Roman"/>
                <w:color w:val="FFFFFF"/>
                <w:szCs w:val="22"/>
              </w:rPr>
            </w:pPr>
            <w:r>
              <w:rPr>
                <w:rFonts w:cs="Times New Roman"/>
                <w:bCs w:val="0"/>
                <w:color w:val="FFFFFF"/>
                <w:szCs w:val="22"/>
              </w:rPr>
              <w:t>(latest year)</w:t>
            </w:r>
          </w:p>
        </w:tc>
        <w:tc>
          <w:tcPr>
            <w:tcW w:w="2551" w:type="dxa"/>
            <w:tcBorders>
              <w:bottom w:val="single" w:sz="12" w:space="0" w:color="FFFFFF"/>
            </w:tcBorders>
            <w:shd w:val="clear" w:color="auto" w:fill="106CB5"/>
            <w:noWrap/>
            <w:vAlign w:val="center"/>
            <w:hideMark/>
          </w:tcPr>
          <w:p w:rsidR="002A03C0" w:rsidRDefault="00F34A83">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bookmarkStart w:id="2" w:name="Table_5"/>
          </w:p>
        </w:tc>
        <w:tc>
          <w:tcPr>
            <w:tcW w:w="1169"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D40B4D" w:rsidTr="00D40B4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12" w:space="0" w:color="FFFFFF"/>
              <w:bottom w:val="single" w:sz="4" w:space="0" w:color="106CB5"/>
            </w:tcBorders>
            <w:shd w:val="clear" w:color="auto" w:fill="FFFFFF"/>
          </w:tcPr>
          <w:p w:rsidR="002A03C0" w:rsidRDefault="00F56EC4">
            <w:pPr>
              <w:spacing w:before="40" w:after="40" w:line="240" w:lineRule="auto"/>
              <w:rPr>
                <w:rFonts w:cs="Times New Roman"/>
                <w:szCs w:val="22"/>
              </w:rPr>
            </w:pPr>
            <w:r>
              <w:rPr>
                <w:rFonts w:cs="Times New Roman"/>
                <w:szCs w:val="22"/>
              </w:rPr>
              <w:t>Year Level</w:t>
            </w:r>
          </w:p>
        </w:tc>
        <w:tc>
          <w:tcPr>
            <w:tcW w:w="2551" w:type="dxa"/>
            <w:tcBorders>
              <w:top w:val="single" w:sz="12" w:space="0" w:color="FFFFFF"/>
              <w:bottom w:val="single" w:sz="4" w:space="0" w:color="106CB5"/>
            </w:tcBorders>
            <w:shd w:val="clear" w:color="auto" w:fill="FFFFFF"/>
            <w:noWrap/>
            <w:vAlign w:val="center"/>
          </w:tcPr>
          <w:p w:rsidR="002A03C0" w:rsidRDefault="00F56EC4">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2A03C0" w:rsidRDefault="00F34A8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right w:val="single" w:sz="4" w:space="0" w:color="FFFFFF" w:themeColor="background1"/>
            </w:tcBorders>
            <w:shd w:val="clear" w:color="auto" w:fill="D9D9D9"/>
          </w:tcPr>
          <w:p w:rsidR="002A03C0" w:rsidRDefault="00F56EC4">
            <w:pPr>
              <w:spacing w:before="40" w:after="40" w:line="240" w:lineRule="auto"/>
              <w:rPr>
                <w:rFonts w:cs="Times New Roman"/>
                <w:szCs w:val="22"/>
              </w:rPr>
            </w:pPr>
            <w:r>
              <w:rPr>
                <w:rFonts w:cs="Times New Roman"/>
                <w:b w:val="0"/>
                <w:szCs w:val="22"/>
              </w:rPr>
              <w:t>Year 3</w:t>
            </w:r>
          </w:p>
        </w:tc>
        <w:tc>
          <w:tcPr>
            <w:tcW w:w="2551"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56EC4">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84.5</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76.5</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62.0</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89.2</w:t>
            </w:r>
          </w:p>
        </w:tc>
        <w:tc>
          <w:tcPr>
            <w:tcW w:w="1341" w:type="dxa"/>
            <w:tcBorders>
              <w:top w:val="single" w:sz="4" w:space="0" w:color="106CB5"/>
              <w:left w:val="single" w:sz="4" w:space="0" w:color="FFFFFF" w:themeColor="background1"/>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Similar</w:t>
            </w:r>
          </w:p>
        </w:tc>
      </w:tr>
      <w:tr w:rsidR="00D40B4D" w:rsidTr="00D40B4D">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06CB5"/>
              <w:right w:val="single" w:sz="2" w:space="0" w:color="FFFFFF"/>
            </w:tcBorders>
            <w:shd w:val="clear" w:color="auto" w:fill="auto"/>
          </w:tcPr>
          <w:p w:rsidR="002A03C0" w:rsidRDefault="00F56EC4">
            <w:pPr>
              <w:spacing w:before="40" w:after="40" w:line="240" w:lineRule="auto"/>
              <w:rPr>
                <w:rFonts w:cs="Times New Roman"/>
                <w:szCs w:val="22"/>
              </w:rPr>
            </w:pPr>
            <w:r>
              <w:rPr>
                <w:rFonts w:cs="Times New Roman"/>
                <w:b w:val="0"/>
                <w:szCs w:val="22"/>
              </w:rPr>
              <w:t>Year 3</w:t>
            </w:r>
          </w:p>
        </w:tc>
        <w:tc>
          <w:tcPr>
            <w:tcW w:w="2551" w:type="dxa"/>
            <w:tcBorders>
              <w:top w:val="nil"/>
              <w:left w:val="single" w:sz="2" w:space="0" w:color="FFFFFF"/>
              <w:bottom w:val="single" w:sz="2" w:space="0" w:color="106CB5"/>
              <w:right w:val="single" w:sz="2" w:space="0" w:color="FFFFFF"/>
            </w:tcBorders>
            <w:shd w:val="clear" w:color="auto" w:fill="auto"/>
            <w:noWrap/>
            <w:vAlign w:val="center"/>
          </w:tcPr>
          <w:p w:rsidR="002A03C0" w:rsidRDefault="00F56EC4">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84.5</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72.5</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53.6</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87.5</w:t>
            </w:r>
          </w:p>
        </w:tc>
        <w:tc>
          <w:tcPr>
            <w:tcW w:w="1341" w:type="dxa"/>
            <w:tcBorders>
              <w:top w:val="nil"/>
              <w:left w:val="single" w:sz="2" w:space="0" w:color="FFFFFF"/>
              <w:bottom w:val="single" w:sz="2" w:space="0" w:color="106CB5"/>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Similar</w:t>
            </w: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2" w:space="0" w:color="106CB5"/>
              <w:bottom w:val="nil"/>
              <w:right w:val="single" w:sz="4" w:space="0" w:color="FFFFFF" w:themeColor="background1"/>
            </w:tcBorders>
            <w:shd w:val="clear" w:color="auto" w:fill="D9D9D9"/>
          </w:tcPr>
          <w:p w:rsidR="002A03C0" w:rsidRDefault="00F56EC4">
            <w:pPr>
              <w:spacing w:before="40" w:after="40" w:line="240" w:lineRule="auto"/>
              <w:rPr>
                <w:rFonts w:cs="Times New Roman"/>
                <w:szCs w:val="22"/>
              </w:rPr>
            </w:pPr>
            <w:r>
              <w:rPr>
                <w:rFonts w:cs="Times New Roman"/>
                <w:b w:val="0"/>
                <w:szCs w:val="22"/>
              </w:rPr>
              <w:t>Year 5</w:t>
            </w:r>
          </w:p>
        </w:tc>
        <w:tc>
          <w:tcPr>
            <w:tcW w:w="2551"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56EC4">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86.7</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64.9</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48.8</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80.0</w:t>
            </w:r>
          </w:p>
        </w:tc>
        <w:tc>
          <w:tcPr>
            <w:tcW w:w="1341" w:type="dxa"/>
            <w:tcBorders>
              <w:top w:val="single" w:sz="2" w:space="0" w:color="106CB5"/>
              <w:left w:val="single" w:sz="4" w:space="0" w:color="FFFFFF" w:themeColor="background1"/>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Similar</w:t>
            </w:r>
          </w:p>
        </w:tc>
      </w:tr>
      <w:tr w:rsidR="00D40B4D" w:rsidTr="00D40B4D">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26CB5"/>
              <w:right w:val="single" w:sz="4" w:space="0" w:color="FFFFFF" w:themeColor="background1"/>
            </w:tcBorders>
            <w:shd w:val="clear" w:color="auto" w:fill="auto"/>
          </w:tcPr>
          <w:p w:rsidR="002A03C0" w:rsidRDefault="00F56EC4">
            <w:pPr>
              <w:spacing w:before="40" w:after="40" w:line="240" w:lineRule="auto"/>
              <w:rPr>
                <w:rFonts w:cs="Times New Roman"/>
                <w:szCs w:val="22"/>
              </w:rPr>
            </w:pPr>
            <w:r>
              <w:rPr>
                <w:rFonts w:cs="Times New Roman"/>
                <w:b w:val="0"/>
                <w:szCs w:val="22"/>
              </w:rPr>
              <w:t>Year 5</w:t>
            </w:r>
          </w:p>
        </w:tc>
        <w:tc>
          <w:tcPr>
            <w:tcW w:w="2551"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56EC4">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89.8</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55.6</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37.0</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75.0</w:t>
            </w:r>
          </w:p>
        </w:tc>
        <w:tc>
          <w:tcPr>
            <w:tcW w:w="1341" w:type="dxa"/>
            <w:tcBorders>
              <w:top w:val="nil"/>
              <w:left w:val="single" w:sz="4" w:space="0" w:color="FFFFFF" w:themeColor="background1"/>
              <w:bottom w:val="single" w:sz="2" w:space="0" w:color="126CB5"/>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Higher</w:t>
            </w:r>
          </w:p>
        </w:tc>
      </w:tr>
      <w:bookmarkEnd w:id="2"/>
    </w:tbl>
    <w:p w:rsidR="002A03C0" w:rsidRDefault="00F34A83">
      <w:pPr>
        <w:pStyle w:val="ESBodyText"/>
      </w:pPr>
    </w:p>
    <w:tbl>
      <w:tblPr>
        <w:tblStyle w:val="GridTable2-Accent611"/>
        <w:tblW w:w="10628" w:type="dxa"/>
        <w:jc w:val="center"/>
        <w:tblLayout w:type="fixed"/>
        <w:tblLook w:val="04A0" w:firstRow="1" w:lastRow="0" w:firstColumn="1" w:lastColumn="0" w:noHBand="0" w:noVBand="1"/>
        <w:tblCaption w:val="NAPLAN 4 year Average Results - Year 3, Year 5, Year 7 and Year 9"/>
      </w:tblPr>
      <w:tblGrid>
        <w:gridCol w:w="2199"/>
        <w:gridCol w:w="2410"/>
        <w:gridCol w:w="1169"/>
        <w:gridCol w:w="1170"/>
        <w:gridCol w:w="1169"/>
        <w:gridCol w:w="1170"/>
        <w:gridCol w:w="1341"/>
      </w:tblGrid>
      <w:tr w:rsidR="00D40B4D" w:rsidTr="00D40B4D">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bottom w:val="single" w:sz="12" w:space="0" w:color="FFFFFF"/>
            </w:tcBorders>
            <w:shd w:val="clear" w:color="auto" w:fill="106CB5"/>
            <w:vAlign w:val="center"/>
          </w:tcPr>
          <w:p w:rsidR="002A03C0" w:rsidRDefault="00F56EC4">
            <w:pPr>
              <w:spacing w:before="40" w:after="40" w:line="240" w:lineRule="auto"/>
              <w:rPr>
                <w:rFonts w:cs="Times New Roman"/>
                <w:color w:val="FFFFFF"/>
                <w:szCs w:val="22"/>
              </w:rPr>
            </w:pPr>
            <w:r>
              <w:rPr>
                <w:rFonts w:cs="Times New Roman"/>
                <w:bCs w:val="0"/>
                <w:color w:val="FFFFFF"/>
                <w:szCs w:val="22"/>
              </w:rPr>
              <w:t xml:space="preserve">NAPLAN top 3 bands </w:t>
            </w:r>
          </w:p>
          <w:p w:rsidR="002A03C0" w:rsidRDefault="00F56EC4">
            <w:pPr>
              <w:spacing w:before="40" w:after="40" w:line="240" w:lineRule="auto"/>
              <w:rPr>
                <w:rFonts w:cs="Times New Roman"/>
                <w:color w:val="FFFFFF"/>
                <w:szCs w:val="22"/>
              </w:rPr>
            </w:pPr>
            <w:r>
              <w:rPr>
                <w:rFonts w:cs="Times New Roman"/>
                <w:bCs w:val="0"/>
                <w:color w:val="FFFFFF"/>
                <w:szCs w:val="22"/>
              </w:rPr>
              <w:t>(4 year average)</w:t>
            </w:r>
          </w:p>
        </w:tc>
        <w:tc>
          <w:tcPr>
            <w:tcW w:w="2410" w:type="dxa"/>
            <w:tcBorders>
              <w:bottom w:val="single" w:sz="12" w:space="0" w:color="FFFFFF"/>
            </w:tcBorders>
            <w:shd w:val="clear" w:color="auto" w:fill="106CB5"/>
            <w:noWrap/>
            <w:vAlign w:val="center"/>
            <w:hideMark/>
          </w:tcPr>
          <w:p w:rsidR="002A03C0" w:rsidRDefault="00F34A83">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169"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D40B4D" w:rsidTr="00D40B4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12" w:space="0" w:color="FFFFFF"/>
              <w:bottom w:val="single" w:sz="4" w:space="0" w:color="106CB5"/>
            </w:tcBorders>
            <w:shd w:val="clear" w:color="auto" w:fill="FFFFFF"/>
          </w:tcPr>
          <w:p w:rsidR="002A03C0" w:rsidRDefault="00F56EC4">
            <w:pPr>
              <w:spacing w:before="40" w:after="40" w:line="240" w:lineRule="auto"/>
              <w:rPr>
                <w:rFonts w:cs="Times New Roman"/>
                <w:szCs w:val="22"/>
              </w:rPr>
            </w:pPr>
            <w:r>
              <w:rPr>
                <w:rFonts w:cs="Times New Roman"/>
                <w:szCs w:val="22"/>
              </w:rPr>
              <w:t>Year Level</w:t>
            </w:r>
          </w:p>
        </w:tc>
        <w:tc>
          <w:tcPr>
            <w:tcW w:w="2410" w:type="dxa"/>
            <w:tcBorders>
              <w:top w:val="single" w:sz="12" w:space="0" w:color="FFFFFF"/>
              <w:bottom w:val="single" w:sz="4" w:space="0" w:color="106CB5"/>
            </w:tcBorders>
            <w:shd w:val="clear" w:color="auto" w:fill="FFFFFF"/>
            <w:noWrap/>
            <w:vAlign w:val="center"/>
          </w:tcPr>
          <w:p w:rsidR="002A03C0" w:rsidRDefault="00F56EC4">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2A03C0" w:rsidRDefault="00F34A8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06CB5"/>
              <w:bottom w:val="single" w:sz="4" w:space="0" w:color="FFFFFF" w:themeColor="background1"/>
              <w:right w:val="single" w:sz="4" w:space="0" w:color="FFFFFF" w:themeColor="background1"/>
            </w:tcBorders>
            <w:shd w:val="clear" w:color="auto" w:fill="D9D9D9" w:themeFill="background1" w:themeFillShade="D9"/>
          </w:tcPr>
          <w:p w:rsidR="002A03C0" w:rsidRDefault="00F56EC4">
            <w:pPr>
              <w:spacing w:before="40" w:after="40" w:line="240" w:lineRule="auto"/>
              <w:rPr>
                <w:rFonts w:cs="Times New Roman"/>
                <w:szCs w:val="22"/>
              </w:rPr>
            </w:pPr>
            <w:r>
              <w:rPr>
                <w:rFonts w:cs="Times New Roman"/>
                <w:b w:val="0"/>
                <w:szCs w:val="22"/>
              </w:rPr>
              <w:t>Year 3</w:t>
            </w:r>
          </w:p>
        </w:tc>
        <w:tc>
          <w:tcPr>
            <w:tcW w:w="241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56EC4">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Pr>
                <w:rFonts w:cs="Times New Roman"/>
                <w:bCs/>
                <w:szCs w:val="22"/>
              </w:rPr>
              <w:t>Reading (4 year average)</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90.4</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71.4</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57.6</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83.6</w:t>
            </w:r>
          </w:p>
        </w:tc>
        <w:tc>
          <w:tcPr>
            <w:tcW w:w="1341" w:type="dxa"/>
            <w:tcBorders>
              <w:top w:val="single" w:sz="4" w:space="0" w:color="106CB5"/>
              <w:left w:val="single" w:sz="4" w:space="0" w:color="FFFFFF" w:themeColor="background1"/>
              <w:bottom w:val="single" w:sz="4" w:space="0" w:color="FFFFFF" w:themeColor="background1"/>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Similar</w:t>
            </w:r>
          </w:p>
        </w:tc>
      </w:tr>
      <w:tr w:rsidR="00D40B4D" w:rsidTr="00D40B4D">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4" w:space="0" w:color="126CB5"/>
              <w:right w:val="single" w:sz="4" w:space="0" w:color="FFFFFF" w:themeColor="background1"/>
            </w:tcBorders>
            <w:shd w:val="clear" w:color="auto" w:fill="auto"/>
          </w:tcPr>
          <w:p w:rsidR="002A03C0" w:rsidRDefault="00F56EC4">
            <w:pPr>
              <w:spacing w:before="40" w:after="40" w:line="240" w:lineRule="auto"/>
              <w:rPr>
                <w:rFonts w:cs="Times New Roman"/>
                <w:szCs w:val="22"/>
              </w:rPr>
            </w:pPr>
            <w:r>
              <w:rPr>
                <w:rFonts w:cs="Times New Roman"/>
                <w:b w:val="0"/>
                <w:szCs w:val="22"/>
              </w:rPr>
              <w:t>Year 3</w:t>
            </w:r>
          </w:p>
        </w:tc>
        <w:tc>
          <w:tcPr>
            <w:tcW w:w="241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F56EC4">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86.4</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65.7</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51.2</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80.0</w:t>
            </w:r>
          </w:p>
        </w:tc>
        <w:tc>
          <w:tcPr>
            <w:tcW w:w="1341" w:type="dxa"/>
            <w:tcBorders>
              <w:top w:val="single" w:sz="4" w:space="0" w:color="FFFFFF" w:themeColor="background1"/>
              <w:left w:val="single" w:sz="4" w:space="0" w:color="FFFFFF" w:themeColor="background1"/>
              <w:bottom w:val="single" w:sz="4" w:space="0" w:color="126CB5"/>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Similar</w:t>
            </w: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26CB5"/>
              <w:bottom w:val="single" w:sz="4" w:space="0" w:color="FFFFFF" w:themeColor="background1"/>
              <w:right w:val="single" w:sz="4" w:space="0" w:color="FFFFFF" w:themeColor="background1"/>
            </w:tcBorders>
            <w:shd w:val="clear" w:color="auto" w:fill="D9D9D9" w:themeFill="background1" w:themeFillShade="D9"/>
          </w:tcPr>
          <w:p w:rsidR="002A03C0" w:rsidRDefault="00F56EC4">
            <w:pPr>
              <w:spacing w:before="40" w:after="40" w:line="240" w:lineRule="auto"/>
              <w:rPr>
                <w:rFonts w:cs="Times New Roman"/>
                <w:szCs w:val="22"/>
              </w:rPr>
            </w:pPr>
            <w:r>
              <w:rPr>
                <w:rFonts w:cs="Times New Roman"/>
                <w:b w:val="0"/>
                <w:szCs w:val="22"/>
              </w:rPr>
              <w:t>Year 5</w:t>
            </w:r>
          </w:p>
        </w:tc>
        <w:tc>
          <w:tcPr>
            <w:tcW w:w="241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56EC4">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(4 year average)</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83.2</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61.2</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47.0</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75.5</w:t>
            </w:r>
          </w:p>
        </w:tc>
        <w:tc>
          <w:tcPr>
            <w:tcW w:w="1341" w:type="dxa"/>
            <w:tcBorders>
              <w:top w:val="single" w:sz="4" w:space="0" w:color="126CB5"/>
              <w:left w:val="single" w:sz="4" w:space="0" w:color="FFFFFF" w:themeColor="background1"/>
              <w:bottom w:val="single" w:sz="4" w:space="0" w:color="FFFFFF" w:themeColor="background1"/>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Similar</w:t>
            </w:r>
          </w:p>
        </w:tc>
      </w:tr>
      <w:tr w:rsidR="00D40B4D" w:rsidTr="00D40B4D">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2" w:space="0" w:color="126CB5"/>
              <w:right w:val="single" w:sz="4" w:space="0" w:color="FFFFFF" w:themeColor="background1"/>
            </w:tcBorders>
            <w:shd w:val="clear" w:color="auto" w:fill="auto"/>
          </w:tcPr>
          <w:p w:rsidR="002A03C0" w:rsidRDefault="00F56EC4">
            <w:pPr>
              <w:spacing w:before="40" w:after="40" w:line="240" w:lineRule="auto"/>
              <w:rPr>
                <w:rFonts w:cs="Times New Roman"/>
                <w:szCs w:val="22"/>
              </w:rPr>
            </w:pPr>
            <w:r>
              <w:rPr>
                <w:rFonts w:cs="Times New Roman"/>
                <w:b w:val="0"/>
                <w:szCs w:val="22"/>
              </w:rPr>
              <w:t>Year 5</w:t>
            </w:r>
          </w:p>
        </w:tc>
        <w:tc>
          <w:tcPr>
            <w:tcW w:w="241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56EC4">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83.4</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54.8</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39.2</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71.4</w:t>
            </w:r>
          </w:p>
        </w:tc>
        <w:tc>
          <w:tcPr>
            <w:tcW w:w="1341" w:type="dxa"/>
            <w:tcBorders>
              <w:top w:val="single" w:sz="4" w:space="0" w:color="FFFFFF" w:themeColor="background1"/>
              <w:left w:val="single" w:sz="4" w:space="0" w:color="FFFFFF" w:themeColor="background1"/>
              <w:bottom w:val="single" w:sz="2" w:space="0" w:color="126CB5"/>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Higher</w:t>
            </w:r>
          </w:p>
        </w:tc>
      </w:tr>
    </w:tbl>
    <w:p w:rsidR="002A03C0" w:rsidRDefault="00F34A83">
      <w:pPr>
        <w:pStyle w:val="ESBodyText"/>
      </w:pPr>
    </w:p>
    <w:p w:rsidR="002A03C0" w:rsidRDefault="00F56EC4">
      <w:pPr>
        <w:pStyle w:val="ESBodyText"/>
        <w:rPr>
          <w:rFonts w:eastAsiaTheme="majorEastAsia" w:cstheme="majorBidi"/>
          <w:b/>
          <w:bCs/>
          <w:color w:val="00008B"/>
          <w:szCs w:val="20"/>
        </w:rPr>
      </w:pPr>
      <w:r>
        <w:rPr>
          <w:rFonts w:eastAsiaTheme="majorEastAsia" w:cstheme="majorBidi"/>
          <w:b/>
          <w:bCs/>
          <w:color w:val="00008B"/>
          <w:szCs w:val="20"/>
        </w:rPr>
        <w:t>NAPLAN Learning Gain</w:t>
      </w:r>
    </w:p>
    <w:p w:rsidR="002A03C0" w:rsidRDefault="00F56EC4">
      <w:pPr>
        <w:pStyle w:val="ESBodyText"/>
      </w:pPr>
      <w:r>
        <w:t>Learning gain of students from year levels 3 to 5 in the following domains; Reading, Numeracy, Writing, Spelling and Grammar and Punctuation.</w:t>
      </w:r>
    </w:p>
    <w:p w:rsidR="002A03C0" w:rsidRDefault="00F56EC4">
      <w:pPr>
        <w:pStyle w:val="ESBodyText"/>
      </w:pPr>
      <w:r>
        <w:t xml:space="preserve">NAPLAN learning gain is determined by comparing a student's current year result to the results of all ‘similar’ Victorian students (i.e. students in all sectors in the same year level who had the same score two years prior).  If the student’s gain is in the top 25 percent of </w:t>
      </w:r>
      <w:r>
        <w:lastRenderedPageBreak/>
        <w:t>their cohort, their gain level is categorised as ‘High’.  If their gain is in the bottom 25 percent of their cohort, their gain level is ‘Low’, and for the remaining 50 percent of gains the gain level is categorised as ‘Medium’.</w:t>
      </w:r>
    </w:p>
    <w:p w:rsidR="002A03C0" w:rsidRDefault="00F56EC4">
      <w:pPr>
        <w:pStyle w:val="ESBodyText"/>
      </w:pPr>
      <w:r>
        <w:t>The table below displays the percentage of students in each of the Learning Gain levels in this school for each NAPLAN domain.</w:t>
      </w:r>
    </w:p>
    <w:tbl>
      <w:tblPr>
        <w:tblStyle w:val="GridTable2-Accent611"/>
        <w:tblW w:w="10569" w:type="dxa"/>
        <w:jc w:val="center"/>
        <w:tblLayout w:type="fixed"/>
        <w:tblLook w:val="04A0" w:firstRow="1" w:lastRow="0" w:firstColumn="1" w:lastColumn="0" w:noHBand="0" w:noVBand="1"/>
        <w:tblCaption w:val="NAPLAN relative growth rates"/>
      </w:tblPr>
      <w:tblGrid>
        <w:gridCol w:w="3730"/>
        <w:gridCol w:w="2279"/>
        <w:gridCol w:w="2280"/>
        <w:gridCol w:w="2280"/>
      </w:tblGrid>
      <w:tr w:rsidR="00D40B4D" w:rsidTr="00D40B4D">
        <w:trPr>
          <w:cnfStyle w:val="100000000000" w:firstRow="1" w:lastRow="0" w:firstColumn="0" w:lastColumn="0" w:oddVBand="0" w:evenVBand="0" w:oddHBand="0" w:evenHBand="0" w:firstRowFirstColumn="0" w:firstRowLastColumn="0" w:lastRowFirstColumn="0" w:lastRowLastColumn="0"/>
          <w:trHeight w:val="395"/>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bottom w:val="single" w:sz="12" w:space="0" w:color="FFFFFF"/>
            </w:tcBorders>
            <w:shd w:val="clear" w:color="auto" w:fill="106CB5"/>
            <w:noWrap/>
            <w:vAlign w:val="center"/>
            <w:hideMark/>
          </w:tcPr>
          <w:p w:rsidR="002A03C0" w:rsidRDefault="00F56EC4">
            <w:pPr>
              <w:spacing w:before="40" w:after="40" w:line="240" w:lineRule="auto"/>
              <w:rPr>
                <w:rFonts w:cs="Times New Roman"/>
                <w:color w:val="FFFFFF"/>
                <w:szCs w:val="22"/>
              </w:rPr>
            </w:pPr>
            <w:r>
              <w:rPr>
                <w:rFonts w:cs="Times New Roman"/>
                <w:bCs w:val="0"/>
                <w:color w:val="FFFFFF"/>
                <w:szCs w:val="22"/>
              </w:rPr>
              <w:t>NAPLAN Learning Gain</w:t>
            </w:r>
          </w:p>
        </w:tc>
        <w:tc>
          <w:tcPr>
            <w:tcW w:w="2279"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Low Growth</w:t>
            </w:r>
          </w:p>
        </w:tc>
        <w:tc>
          <w:tcPr>
            <w:tcW w:w="2280"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Medium Growth</w:t>
            </w:r>
          </w:p>
        </w:tc>
        <w:tc>
          <w:tcPr>
            <w:tcW w:w="2280" w:type="dxa"/>
            <w:tcBorders>
              <w:bottom w:val="single" w:sz="12" w:space="0" w:color="FFFFFF"/>
            </w:tcBorders>
            <w:shd w:val="clear" w:color="auto" w:fill="106CB5"/>
            <w:noWrap/>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High Growth</w:t>
            </w:r>
          </w:p>
        </w:tc>
      </w:tr>
      <w:tr w:rsidR="00D40B4D" w:rsidTr="00D40B4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12" w:space="0" w:color="FFFFFF"/>
              <w:bottom w:val="single" w:sz="4" w:space="0" w:color="126CB5"/>
            </w:tcBorders>
            <w:shd w:val="clear" w:color="auto" w:fill="FFFFFF"/>
            <w:noWrap/>
            <w:vAlign w:val="center"/>
          </w:tcPr>
          <w:p w:rsidR="002A03C0" w:rsidRDefault="00F56EC4">
            <w:pPr>
              <w:spacing w:before="40" w:after="40" w:line="240" w:lineRule="auto"/>
              <w:rPr>
                <w:rFonts w:cs="Times New Roman"/>
                <w:szCs w:val="22"/>
              </w:rPr>
            </w:pPr>
            <w:r>
              <w:rPr>
                <w:rFonts w:cs="Times New Roman"/>
                <w:szCs w:val="22"/>
              </w:rPr>
              <w:t>Domain</w:t>
            </w:r>
          </w:p>
        </w:tc>
        <w:tc>
          <w:tcPr>
            <w:tcW w:w="2279" w:type="dxa"/>
            <w:tcBorders>
              <w:top w:val="single" w:sz="12" w:space="0" w:color="FFFFFF"/>
              <w:bottom w:val="single" w:sz="4" w:space="0" w:color="12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126CB5"/>
              <w:bottom w:val="single" w:sz="4" w:space="0" w:color="FFFFFF" w:themeColor="background1"/>
              <w:right w:val="single" w:sz="4" w:space="0" w:color="FFFFFF" w:themeColor="background1"/>
            </w:tcBorders>
            <w:shd w:val="clear" w:color="auto" w:fill="D9D9D9"/>
            <w:noWrap/>
            <w:vAlign w:val="center"/>
          </w:tcPr>
          <w:p w:rsidR="002A03C0" w:rsidRDefault="00F56EC4">
            <w:pPr>
              <w:spacing w:before="40" w:after="40" w:line="240" w:lineRule="auto"/>
              <w:rPr>
                <w:rFonts w:cs="Times New Roman"/>
                <w:szCs w:val="22"/>
              </w:rPr>
            </w:pPr>
            <w:r>
              <w:rPr>
                <w:rFonts w:cs="Times New Roman"/>
                <w:b w:val="0"/>
                <w:szCs w:val="22"/>
              </w:rPr>
              <w:t>Reading</w:t>
            </w:r>
          </w:p>
        </w:tc>
        <w:tc>
          <w:tcPr>
            <w:tcW w:w="227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17.0</w:t>
            </w:r>
          </w:p>
        </w:tc>
        <w:tc>
          <w:tcPr>
            <w:tcW w:w="228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43.4</w:t>
            </w:r>
          </w:p>
        </w:tc>
        <w:tc>
          <w:tcPr>
            <w:tcW w:w="2280" w:type="dxa"/>
            <w:tcBorders>
              <w:top w:val="single" w:sz="4" w:space="0" w:color="126CB5"/>
              <w:left w:val="single" w:sz="4" w:space="0" w:color="FFFFFF" w:themeColor="background1"/>
              <w:bottom w:val="single" w:sz="4" w:space="0" w:color="FFFFFF" w:themeColor="background1"/>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39.6</w:t>
            </w:r>
          </w:p>
        </w:tc>
      </w:tr>
      <w:tr w:rsidR="00D40B4D" w:rsidTr="00D40B4D">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56EC4">
            <w:pPr>
              <w:spacing w:before="40" w:after="40" w:line="240" w:lineRule="auto"/>
              <w:rPr>
                <w:rFonts w:cs="Times New Roman"/>
                <w:szCs w:val="22"/>
              </w:rPr>
            </w:pPr>
            <w:r>
              <w:rPr>
                <w:rFonts w:cs="Times New Roman"/>
                <w:b w:val="0"/>
                <w:bCs w:val="0"/>
                <w:szCs w:val="22"/>
              </w:rPr>
              <w:t>Numeracy</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3.8</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44.2</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51.9</w:t>
            </w: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F56EC4">
            <w:pPr>
              <w:spacing w:before="40" w:after="40" w:line="240" w:lineRule="auto"/>
              <w:rPr>
                <w:rFonts w:cs="Times New Roman"/>
                <w:szCs w:val="22"/>
              </w:rPr>
            </w:pPr>
            <w:r>
              <w:rPr>
                <w:rFonts w:cs="Times New Roman"/>
                <w:b w:val="0"/>
                <w:szCs w:val="22"/>
              </w:rPr>
              <w:t>Writing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21.6</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51.0</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DBD9D6"/>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27.5</w:t>
            </w:r>
          </w:p>
        </w:tc>
      </w:tr>
      <w:tr w:rsidR="00D40B4D" w:rsidTr="00D40B4D">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56EC4">
            <w:pPr>
              <w:spacing w:before="40" w:after="40" w:line="240" w:lineRule="auto"/>
              <w:rPr>
                <w:rFonts w:cs="Times New Roman"/>
                <w:szCs w:val="22"/>
              </w:rPr>
            </w:pPr>
            <w:r>
              <w:rPr>
                <w:rFonts w:cs="Times New Roman"/>
                <w:b w:val="0"/>
                <w:bCs w:val="0"/>
                <w:szCs w:val="22"/>
              </w:rPr>
              <w:t>Spelling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24.0</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38.0</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38.0</w:t>
            </w: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F56EC4">
            <w:pPr>
              <w:spacing w:before="40" w:after="40" w:line="240" w:lineRule="auto"/>
              <w:rPr>
                <w:rFonts w:cs="Times New Roman"/>
                <w:szCs w:val="22"/>
              </w:rPr>
            </w:pPr>
            <w:r>
              <w:rPr>
                <w:rFonts w:cs="Times New Roman"/>
                <w:b w:val="0"/>
                <w:szCs w:val="22"/>
              </w:rPr>
              <w:t>Grammar and Punctuation</w:t>
            </w:r>
          </w:p>
        </w:tc>
        <w:tc>
          <w:tcPr>
            <w:tcW w:w="2279"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14.0</w:t>
            </w:r>
          </w:p>
        </w:tc>
        <w:tc>
          <w:tcPr>
            <w:tcW w:w="2280"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46.0</w:t>
            </w:r>
          </w:p>
        </w:tc>
        <w:tc>
          <w:tcPr>
            <w:tcW w:w="2280" w:type="dxa"/>
            <w:tcBorders>
              <w:top w:val="single" w:sz="4" w:space="0" w:color="FFFFFF" w:themeColor="background1"/>
              <w:left w:val="single" w:sz="4" w:space="0" w:color="FFFFFF" w:themeColor="background1"/>
              <w:bottom w:val="single" w:sz="4" w:space="0" w:color="106CB5"/>
            </w:tcBorders>
            <w:shd w:val="clear" w:color="auto" w:fill="DBD9D6"/>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40.0</w:t>
            </w:r>
          </w:p>
        </w:tc>
      </w:tr>
    </w:tbl>
    <w:p w:rsidR="002A03C0" w:rsidRDefault="00F56EC4">
      <w:pPr>
        <w:pStyle w:val="ESHeading2"/>
        <w:rPr>
          <w:color w:val="00008B"/>
          <w:u w:val="single"/>
        </w:rPr>
      </w:pPr>
      <w:r>
        <w:rPr>
          <w:color w:val="00008B"/>
          <w:u w:val="single"/>
        </w:rPr>
        <w:t>engagement</w:t>
      </w:r>
    </w:p>
    <w:p w:rsidR="002A03C0" w:rsidRDefault="00F56EC4">
      <w:pPr>
        <w:pStyle w:val="ESBodyText"/>
        <w:rPr>
          <w:rFonts w:eastAsiaTheme="majorEastAsia" w:cstheme="majorBidi"/>
          <w:b/>
          <w:bCs/>
          <w:color w:val="00008B"/>
          <w:szCs w:val="20"/>
        </w:rPr>
      </w:pPr>
      <w:r>
        <w:rPr>
          <w:rFonts w:eastAsiaTheme="majorEastAsia" w:cstheme="majorBidi"/>
          <w:b/>
          <w:bCs/>
          <w:color w:val="00008B"/>
          <w:szCs w:val="20"/>
        </w:rPr>
        <w:t>Average Number of Student Absence Days</w:t>
      </w:r>
    </w:p>
    <w:p w:rsidR="002A03C0" w:rsidRDefault="00F56EC4">
      <w:pPr>
        <w:pStyle w:val="ESBodyText"/>
      </w:pPr>
      <w:r>
        <w:t>Absence from school can impact on students’ learning. A school comparison rating of ‘Higher’ indicates this school records less absences than expected, given the background characteristics of students. A rating of ‘Lower’ indicates this school records more absences than expected.</w:t>
      </w:r>
    </w:p>
    <w:p w:rsidR="002A03C0" w:rsidRDefault="00F56EC4">
      <w:pPr>
        <w:pStyle w:val="ESBodyText"/>
      </w:pPr>
      <w:r>
        <w:t>Common reasons for non-attendance include illness and extended family holidays.</w:t>
      </w:r>
    </w:p>
    <w:tbl>
      <w:tblPr>
        <w:tblStyle w:val="GridTable2-Accent61"/>
        <w:tblW w:w="4850" w:type="pct"/>
        <w:jc w:val="center"/>
        <w:tblLayout w:type="fixed"/>
        <w:tblLook w:val="04A0" w:firstRow="1" w:lastRow="0" w:firstColumn="1" w:lastColumn="0" w:noHBand="0" w:noVBand="1"/>
        <w:tblCaption w:val="Average number of student absence days"/>
      </w:tblPr>
      <w:tblGrid>
        <w:gridCol w:w="4529"/>
        <w:gridCol w:w="1147"/>
        <w:gridCol w:w="1149"/>
        <w:gridCol w:w="1147"/>
        <w:gridCol w:w="1149"/>
        <w:gridCol w:w="1322"/>
      </w:tblGrid>
      <w:tr w:rsidR="00D40B4D" w:rsidTr="00D40B4D">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bottom w:val="single" w:sz="12" w:space="0" w:color="FFFFFF"/>
            </w:tcBorders>
            <w:shd w:val="clear" w:color="auto" w:fill="106CB5"/>
            <w:vAlign w:val="center"/>
            <w:hideMark/>
          </w:tcPr>
          <w:p w:rsidR="002A03C0" w:rsidRDefault="00F56EC4">
            <w:pPr>
              <w:spacing w:before="40" w:after="40" w:line="240" w:lineRule="auto"/>
              <w:rPr>
                <w:rFonts w:cs="Times New Roman"/>
                <w:color w:val="FFFFFF"/>
                <w:szCs w:val="22"/>
              </w:rPr>
            </w:pPr>
            <w:r>
              <w:rPr>
                <w:rFonts w:cs="Times New Roman"/>
                <w:color w:val="FFFFFF"/>
                <w:szCs w:val="22"/>
              </w:rPr>
              <w:t>Average number of absence days</w:t>
            </w:r>
          </w:p>
        </w:tc>
        <w:tc>
          <w:tcPr>
            <w:tcW w:w="549"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550"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549"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550"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33"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D40B4D" w:rsidTr="00D40B4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12" w:space="0" w:color="FFFFFF"/>
              <w:bottom w:val="single" w:sz="2" w:space="0" w:color="106CB5"/>
            </w:tcBorders>
            <w:shd w:val="clear" w:color="auto" w:fill="FFFFFF"/>
            <w:noWrap/>
            <w:vAlign w:val="center"/>
          </w:tcPr>
          <w:p w:rsidR="002A03C0" w:rsidRDefault="00F34A83">
            <w:pPr>
              <w:spacing w:before="40" w:after="40" w:line="240" w:lineRule="auto"/>
              <w:rPr>
                <w:rFonts w:cs="Times New Roman"/>
                <w:szCs w:val="22"/>
              </w:rPr>
            </w:pPr>
          </w:p>
        </w:tc>
        <w:tc>
          <w:tcPr>
            <w:tcW w:w="549"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49" w:type="pct"/>
            <w:tcBorders>
              <w:top w:val="single" w:sz="12" w:space="0" w:color="FFFFFF"/>
              <w:bottom w:val="single" w:sz="2" w:space="0" w:color="106CB5"/>
            </w:tcBorders>
            <w:shd w:val="clear" w:color="auto" w:fill="FFFFFF"/>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3" w:type="pct"/>
            <w:tcBorders>
              <w:top w:val="single" w:sz="12" w:space="0" w:color="FFFFFF"/>
              <w:bottom w:val="single" w:sz="2" w:space="0" w:color="106CB5"/>
            </w:tcBorders>
            <w:shd w:val="clear" w:color="auto" w:fill="FFFFFF"/>
          </w:tcPr>
          <w:p w:rsidR="002A03C0" w:rsidRDefault="00F34A8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D9D9D9"/>
            <w:noWrap/>
            <w:vAlign w:val="center"/>
          </w:tcPr>
          <w:p w:rsidR="002A03C0" w:rsidRDefault="00F56EC4">
            <w:pPr>
              <w:spacing w:before="40" w:after="40" w:line="240" w:lineRule="auto"/>
              <w:rPr>
                <w:rFonts w:cs="Times New Roman"/>
                <w:szCs w:val="22"/>
              </w:rPr>
            </w:pPr>
            <w:r>
              <w:rPr>
                <w:rFonts w:cs="Times New Roman"/>
                <w:szCs w:val="22"/>
              </w:rPr>
              <w:t>Average number of absence days (latest year)</w:t>
            </w:r>
          </w:p>
        </w:tc>
        <w:tc>
          <w:tcPr>
            <w:tcW w:w="549" w:type="pct"/>
            <w:tcBorders>
              <w:top w:val="single" w:sz="2" w:space="0" w:color="106CB5"/>
              <w:bottom w:val="single" w:sz="2" w:space="0" w:color="106CB5"/>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11.8</w:t>
            </w:r>
          </w:p>
        </w:tc>
        <w:tc>
          <w:tcPr>
            <w:tcW w:w="550" w:type="pct"/>
            <w:tcBorders>
              <w:top w:val="single" w:sz="2" w:space="0" w:color="106CB5"/>
              <w:bottom w:val="single" w:sz="2" w:space="0" w:color="106CB5"/>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15.1</w:t>
            </w:r>
          </w:p>
        </w:tc>
        <w:tc>
          <w:tcPr>
            <w:tcW w:w="549" w:type="pct"/>
            <w:tcBorders>
              <w:top w:val="single" w:sz="2" w:space="0" w:color="106CB5"/>
              <w:bottom w:val="single" w:sz="2" w:space="0" w:color="106CB5"/>
            </w:tcBorders>
            <w:shd w:val="clear" w:color="auto" w:fill="D9D9D9"/>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12.9</w:t>
            </w:r>
          </w:p>
        </w:tc>
        <w:tc>
          <w:tcPr>
            <w:tcW w:w="550" w:type="pct"/>
            <w:tcBorders>
              <w:top w:val="single" w:sz="2" w:space="0" w:color="106CB5"/>
              <w:bottom w:val="single" w:sz="2" w:space="0" w:color="106CB5"/>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18.1</w:t>
            </w:r>
          </w:p>
        </w:tc>
        <w:tc>
          <w:tcPr>
            <w:tcW w:w="633" w:type="pct"/>
            <w:tcBorders>
              <w:top w:val="single" w:sz="2" w:space="0" w:color="106CB5"/>
              <w:bottom w:val="single" w:sz="2" w:space="0" w:color="106CB5"/>
            </w:tcBorders>
            <w:shd w:val="clear" w:color="auto" w:fill="D9D9D9"/>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Similar</w:t>
            </w:r>
          </w:p>
        </w:tc>
      </w:tr>
      <w:tr w:rsidR="00D40B4D" w:rsidTr="00D40B4D">
        <w:trP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auto"/>
            <w:noWrap/>
            <w:vAlign w:val="center"/>
            <w:hideMark/>
          </w:tcPr>
          <w:p w:rsidR="002A03C0" w:rsidRDefault="00F56EC4">
            <w:pPr>
              <w:spacing w:before="40" w:after="40" w:line="240" w:lineRule="auto"/>
              <w:rPr>
                <w:rFonts w:cs="Times New Roman"/>
                <w:szCs w:val="22"/>
              </w:rPr>
            </w:pPr>
            <w:r>
              <w:rPr>
                <w:rFonts w:cs="Times New Roman"/>
                <w:szCs w:val="22"/>
              </w:rPr>
              <w:t>Average number of absence days (4 year average)</w:t>
            </w:r>
          </w:p>
        </w:tc>
        <w:tc>
          <w:tcPr>
            <w:tcW w:w="549" w:type="pct"/>
            <w:tcBorders>
              <w:top w:val="single" w:sz="2" w:space="0" w:color="106CB5"/>
              <w:bottom w:val="single" w:sz="2" w:space="0" w:color="106CB5"/>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11.9</w:t>
            </w:r>
          </w:p>
        </w:tc>
        <w:tc>
          <w:tcPr>
            <w:tcW w:w="550" w:type="pct"/>
            <w:tcBorders>
              <w:top w:val="single" w:sz="2" w:space="0" w:color="106CB5"/>
              <w:bottom w:val="single" w:sz="2" w:space="0" w:color="106CB5"/>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15.2</w:t>
            </w:r>
          </w:p>
        </w:tc>
        <w:tc>
          <w:tcPr>
            <w:tcW w:w="549" w:type="pct"/>
            <w:tcBorders>
              <w:top w:val="single" w:sz="2" w:space="0" w:color="106CB5"/>
              <w:bottom w:val="single" w:sz="2" w:space="0" w:color="106CB5"/>
            </w:tcBorders>
            <w:shd w:val="clear" w:color="auto" w:fill="auto"/>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13.2</w:t>
            </w:r>
          </w:p>
        </w:tc>
        <w:tc>
          <w:tcPr>
            <w:tcW w:w="550" w:type="pct"/>
            <w:tcBorders>
              <w:top w:val="single" w:sz="2" w:space="0" w:color="106CB5"/>
              <w:bottom w:val="single" w:sz="2" w:space="0" w:color="106CB5"/>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17.8</w:t>
            </w:r>
          </w:p>
        </w:tc>
        <w:tc>
          <w:tcPr>
            <w:tcW w:w="633" w:type="pct"/>
            <w:tcBorders>
              <w:top w:val="single" w:sz="2" w:space="0" w:color="106CB5"/>
              <w:bottom w:val="single" w:sz="2" w:space="0" w:color="106CB5"/>
            </w:tcBorders>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F34A83">
      <w:pPr>
        <w:pStyle w:val="ESBodyText"/>
        <w:rPr>
          <w:rFonts w:eastAsiaTheme="majorEastAsia" w:cstheme="majorBidi"/>
          <w:b/>
          <w:bCs/>
          <w:color w:val="AF272F"/>
          <w:szCs w:val="20"/>
        </w:rPr>
      </w:pPr>
    </w:p>
    <w:p w:rsidR="002A03C0" w:rsidRDefault="00F56EC4">
      <w:pPr>
        <w:pStyle w:val="ESBodyText"/>
        <w:rPr>
          <w:rFonts w:eastAsiaTheme="majorEastAsia" w:cstheme="majorBidi"/>
          <w:b/>
          <w:bCs/>
          <w:color w:val="00008B"/>
          <w:szCs w:val="20"/>
        </w:rPr>
      </w:pPr>
      <w:r>
        <w:rPr>
          <w:rFonts w:eastAsiaTheme="majorEastAsia" w:cstheme="majorBidi"/>
          <w:b/>
          <w:bCs/>
          <w:color w:val="00008B"/>
          <w:szCs w:val="20"/>
        </w:rPr>
        <w:t>Attendance Rate</w:t>
      </w:r>
    </w:p>
    <w:p w:rsidR="002A03C0" w:rsidRDefault="00F56EC4">
      <w:pPr>
        <w:pStyle w:val="ESBodyText"/>
      </w:pPr>
      <w:r>
        <w:t>Average 2018 attendance rate by year level:</w:t>
      </w:r>
    </w:p>
    <w:tbl>
      <w:tblPr>
        <w:tblStyle w:val="GridTable2-Accent61"/>
        <w:tblW w:w="4838" w:type="pct"/>
        <w:jc w:val="center"/>
        <w:tblLook w:val="04A0" w:firstRow="1" w:lastRow="0" w:firstColumn="1" w:lastColumn="0" w:noHBand="0" w:noVBand="1"/>
        <w:tblCaption w:val="Attendance rate"/>
      </w:tblPr>
      <w:tblGrid>
        <w:gridCol w:w="3155"/>
        <w:gridCol w:w="1038"/>
        <w:gridCol w:w="1038"/>
        <w:gridCol w:w="1038"/>
        <w:gridCol w:w="1040"/>
        <w:gridCol w:w="1035"/>
        <w:gridCol w:w="1035"/>
        <w:gridCol w:w="1038"/>
      </w:tblGrid>
      <w:tr w:rsidR="00D40B4D" w:rsidTr="00D40B4D">
        <w:trPr>
          <w:cnfStyle w:val="100000000000" w:firstRow="1" w:lastRow="0" w:firstColumn="0" w:lastColumn="0" w:oddVBand="0" w:evenVBand="0" w:oddHBand="0" w:evenHBand="0" w:firstRowFirstColumn="0" w:firstRowLastColumn="0" w:lastRowFirstColumn="0" w:lastRowLastColumn="0"/>
          <w:trHeight w:val="501"/>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bottom w:val="single" w:sz="12" w:space="0" w:color="FFFFFF"/>
            </w:tcBorders>
            <w:shd w:val="clear" w:color="auto" w:fill="106CB5"/>
            <w:vAlign w:val="center"/>
            <w:hideMark/>
          </w:tcPr>
          <w:p w:rsidR="002A03C0" w:rsidRDefault="00F56EC4">
            <w:pPr>
              <w:spacing w:before="40" w:after="40" w:line="240" w:lineRule="auto"/>
              <w:jc w:val="right"/>
              <w:rPr>
                <w:rFonts w:cs="Times New Roman"/>
                <w:color w:val="FFFFFF"/>
                <w:szCs w:val="22"/>
              </w:rPr>
            </w:pPr>
            <w:r>
              <w:rPr>
                <w:rFonts w:cs="Times New Roman"/>
                <w:color w:val="FFFFFF"/>
                <w:szCs w:val="22"/>
              </w:rPr>
              <w:t>Year Level</w:t>
            </w:r>
          </w:p>
        </w:tc>
        <w:tc>
          <w:tcPr>
            <w:tcW w:w="498"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Prep</w:t>
            </w:r>
          </w:p>
        </w:tc>
        <w:tc>
          <w:tcPr>
            <w:tcW w:w="498"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1</w:t>
            </w:r>
          </w:p>
        </w:tc>
        <w:tc>
          <w:tcPr>
            <w:tcW w:w="498"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2</w:t>
            </w:r>
          </w:p>
        </w:tc>
        <w:tc>
          <w:tcPr>
            <w:tcW w:w="499"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3</w:t>
            </w:r>
          </w:p>
        </w:tc>
        <w:tc>
          <w:tcPr>
            <w:tcW w:w="497"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4</w:t>
            </w:r>
          </w:p>
        </w:tc>
        <w:tc>
          <w:tcPr>
            <w:tcW w:w="497"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5</w:t>
            </w:r>
          </w:p>
        </w:tc>
        <w:tc>
          <w:tcPr>
            <w:tcW w:w="498"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6</w:t>
            </w:r>
          </w:p>
        </w:tc>
      </w:tr>
      <w:tr w:rsidR="00D40B4D" w:rsidTr="00D40B4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12" w:space="0" w:color="FFFFFF"/>
              <w:bottom w:val="single" w:sz="2" w:space="0" w:color="106CB5"/>
            </w:tcBorders>
            <w:shd w:val="clear" w:color="auto" w:fill="FFFFFF"/>
            <w:noWrap/>
            <w:vAlign w:val="center"/>
          </w:tcPr>
          <w:p w:rsidR="002A03C0" w:rsidRDefault="00F34A83">
            <w:pPr>
              <w:spacing w:before="40" w:after="40" w:line="240" w:lineRule="auto"/>
              <w:rPr>
                <w:rFonts w:cs="Times New Roman"/>
                <w:szCs w:val="22"/>
              </w:rPr>
            </w:pPr>
          </w:p>
        </w:tc>
        <w:tc>
          <w:tcPr>
            <w:tcW w:w="498"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9"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2" w:space="0" w:color="106CB5"/>
              <w:bottom w:val="single" w:sz="2" w:space="0" w:color="106CB5"/>
            </w:tcBorders>
            <w:shd w:val="clear" w:color="auto" w:fill="D9D9D9"/>
            <w:noWrap/>
            <w:vAlign w:val="center"/>
          </w:tcPr>
          <w:p w:rsidR="002A03C0" w:rsidRDefault="00F56EC4">
            <w:pPr>
              <w:spacing w:before="40" w:after="40" w:line="240" w:lineRule="auto"/>
              <w:rPr>
                <w:rFonts w:cs="Times New Roman"/>
                <w:szCs w:val="22"/>
              </w:rPr>
            </w:pPr>
            <w:r>
              <w:rPr>
                <w:rFonts w:cs="Times New Roman"/>
                <w:szCs w:val="22"/>
              </w:rPr>
              <w:t>Attendance Rate (latest year)</w:t>
            </w:r>
          </w:p>
        </w:tc>
        <w:tc>
          <w:tcPr>
            <w:tcW w:w="498" w:type="pct"/>
            <w:tcBorders>
              <w:top w:val="single" w:sz="2" w:space="0" w:color="106CB5"/>
              <w:bottom w:val="single" w:sz="2" w:space="0" w:color="106CB5"/>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94</w:t>
            </w:r>
          </w:p>
        </w:tc>
        <w:tc>
          <w:tcPr>
            <w:tcW w:w="498" w:type="pct"/>
            <w:tcBorders>
              <w:top w:val="single" w:sz="2" w:space="0" w:color="106CB5"/>
              <w:bottom w:val="single" w:sz="2" w:space="0" w:color="106CB5"/>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94</w:t>
            </w:r>
          </w:p>
        </w:tc>
        <w:tc>
          <w:tcPr>
            <w:tcW w:w="498" w:type="pct"/>
            <w:tcBorders>
              <w:top w:val="single" w:sz="2" w:space="0" w:color="106CB5"/>
              <w:bottom w:val="single" w:sz="2" w:space="0" w:color="106CB5"/>
            </w:tcBorders>
            <w:shd w:val="clear" w:color="auto" w:fill="D9D9D9"/>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94</w:t>
            </w:r>
          </w:p>
        </w:tc>
        <w:tc>
          <w:tcPr>
            <w:tcW w:w="499" w:type="pct"/>
            <w:tcBorders>
              <w:top w:val="single" w:sz="2" w:space="0" w:color="106CB5"/>
              <w:bottom w:val="single" w:sz="2" w:space="0" w:color="106CB5"/>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95</w:t>
            </w:r>
          </w:p>
        </w:tc>
        <w:tc>
          <w:tcPr>
            <w:tcW w:w="497" w:type="pct"/>
            <w:tcBorders>
              <w:top w:val="single" w:sz="2" w:space="0" w:color="106CB5"/>
              <w:bottom w:val="single" w:sz="2" w:space="0" w:color="106CB5"/>
            </w:tcBorders>
            <w:shd w:val="clear" w:color="auto" w:fill="D9D9D9"/>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94</w:t>
            </w:r>
          </w:p>
        </w:tc>
        <w:tc>
          <w:tcPr>
            <w:tcW w:w="497" w:type="pct"/>
            <w:tcBorders>
              <w:top w:val="single" w:sz="2" w:space="0" w:color="106CB5"/>
              <w:bottom w:val="single" w:sz="2" w:space="0" w:color="106CB5"/>
            </w:tcBorders>
            <w:shd w:val="clear" w:color="auto" w:fill="D9D9D9"/>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93</w:t>
            </w:r>
          </w:p>
        </w:tc>
        <w:tc>
          <w:tcPr>
            <w:tcW w:w="498" w:type="pct"/>
            <w:tcBorders>
              <w:top w:val="single" w:sz="2" w:space="0" w:color="106CB5"/>
              <w:bottom w:val="single" w:sz="2" w:space="0" w:color="106CB5"/>
            </w:tcBorders>
            <w:shd w:val="clear" w:color="auto" w:fill="D9D9D9"/>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94</w:t>
            </w:r>
          </w:p>
        </w:tc>
      </w:tr>
    </w:tbl>
    <w:p w:rsidR="002A03C0" w:rsidRDefault="00F34A83">
      <w:pPr>
        <w:pStyle w:val="ESBodyText"/>
      </w:pPr>
    </w:p>
    <w:p w:rsidR="002A03C0" w:rsidRDefault="00F56EC4">
      <w:pPr>
        <w:pStyle w:val="ESHeading2"/>
        <w:rPr>
          <w:color w:val="00008B"/>
          <w:u w:val="single"/>
        </w:rPr>
      </w:pPr>
      <w:r>
        <w:rPr>
          <w:color w:val="00008B"/>
          <w:u w:val="single"/>
        </w:rPr>
        <w:t>WELLbeing</w:t>
      </w:r>
    </w:p>
    <w:p w:rsidR="002A03C0" w:rsidRDefault="00F56EC4">
      <w:pPr>
        <w:pStyle w:val="ESBodyText"/>
        <w:rPr>
          <w:rFonts w:eastAsiaTheme="majorEastAsia" w:cstheme="majorBidi"/>
          <w:b/>
          <w:bCs/>
          <w:color w:val="00008B"/>
          <w:szCs w:val="20"/>
        </w:rPr>
      </w:pPr>
      <w:r>
        <w:rPr>
          <w:rFonts w:eastAsiaTheme="majorEastAsia" w:cstheme="majorBidi"/>
          <w:b/>
          <w:bCs/>
          <w:color w:val="00008B"/>
          <w:szCs w:val="20"/>
        </w:rPr>
        <w:t>Student Attitudes to School – Sense of Connectedness</w:t>
      </w:r>
    </w:p>
    <w:p w:rsidR="002A03C0" w:rsidRDefault="00F56EC4">
      <w:pPr>
        <w:pStyle w:val="ESBodyText"/>
      </w:pPr>
      <w:r>
        <w:t>The percent endorsement on Sense of Connectedness factor, as reported in the Attitudes to School Survey completed annually by Victorian Government school students in year levels 4 to 6.</w:t>
      </w:r>
    </w:p>
    <w:p w:rsidR="002A03C0" w:rsidRDefault="00F56EC4">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connectedness to schools"/>
      </w:tblPr>
      <w:tblGrid>
        <w:gridCol w:w="3816"/>
        <w:gridCol w:w="1307"/>
        <w:gridCol w:w="1308"/>
        <w:gridCol w:w="1308"/>
        <w:gridCol w:w="1383"/>
        <w:gridCol w:w="1306"/>
      </w:tblGrid>
      <w:tr w:rsidR="00D40B4D" w:rsidTr="00D40B4D">
        <w:trPr>
          <w:cnfStyle w:val="100000000000" w:firstRow="1" w:lastRow="0" w:firstColumn="0" w:lastColumn="0" w:oddVBand="0" w:evenVBand="0" w:oddHBand="0" w:evenHBand="0" w:firstRowFirstColumn="0" w:firstRowLastColumn="0" w:lastRowFirstColumn="0" w:lastRowLastColumn="0"/>
          <w:trHeight w:val="706"/>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bottom w:val="single" w:sz="12" w:space="0" w:color="FFFFFF"/>
            </w:tcBorders>
            <w:shd w:val="clear" w:color="auto" w:fill="106CB5"/>
            <w:vAlign w:val="center"/>
            <w:hideMark/>
          </w:tcPr>
          <w:p w:rsidR="002A03C0" w:rsidRDefault="00F56EC4">
            <w:pPr>
              <w:spacing w:before="40" w:after="40" w:line="240" w:lineRule="auto"/>
              <w:rPr>
                <w:rFonts w:cs="Times New Roman"/>
                <w:color w:val="FFFFFF"/>
                <w:szCs w:val="22"/>
              </w:rPr>
            </w:pPr>
            <w:r>
              <w:t xml:space="preserve"> </w:t>
            </w:r>
            <w:r>
              <w:rPr>
                <w:rFonts w:cs="Times New Roman"/>
                <w:color w:val="FFFFFF"/>
                <w:szCs w:val="22"/>
              </w:rPr>
              <w:t>Sense of Connectedness</w:t>
            </w:r>
          </w:p>
        </w:tc>
        <w:tc>
          <w:tcPr>
            <w:tcW w:w="627"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7"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7"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63"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26"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D40B4D" w:rsidTr="00D40B4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12" w:space="0" w:color="FFFFFF"/>
              <w:bottom w:val="single" w:sz="2" w:space="0" w:color="106CB5"/>
            </w:tcBorders>
            <w:shd w:val="clear" w:color="auto" w:fill="FFFFFF"/>
            <w:noWrap/>
            <w:vAlign w:val="center"/>
          </w:tcPr>
          <w:p w:rsidR="002A03C0" w:rsidRDefault="00F34A83">
            <w:pPr>
              <w:spacing w:before="40" w:after="40" w:line="240" w:lineRule="auto"/>
              <w:rPr>
                <w:rFonts w:cs="Times New Roman"/>
                <w:szCs w:val="22"/>
              </w:rPr>
            </w:pPr>
          </w:p>
        </w:tc>
        <w:tc>
          <w:tcPr>
            <w:tcW w:w="627"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63"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6" w:type="pct"/>
            <w:tcBorders>
              <w:top w:val="single" w:sz="12" w:space="0" w:color="FFFFFF"/>
              <w:bottom w:val="single" w:sz="2" w:space="0" w:color="106CB5"/>
            </w:tcBorders>
            <w:shd w:val="clear" w:color="auto" w:fill="FFFFFF"/>
          </w:tcPr>
          <w:p w:rsidR="002A03C0" w:rsidRDefault="00F34A8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06CB5"/>
              <w:bottom w:val="single" w:sz="2" w:space="0" w:color="126CB5"/>
            </w:tcBorders>
            <w:shd w:val="clear" w:color="auto" w:fill="D9D9D9" w:themeFill="background1" w:themeFillShade="D9"/>
            <w:noWrap/>
            <w:vAlign w:val="center"/>
          </w:tcPr>
          <w:p w:rsidR="002A03C0" w:rsidRDefault="00F56EC4">
            <w:pPr>
              <w:spacing w:before="40" w:after="40" w:line="240" w:lineRule="auto"/>
              <w:rPr>
                <w:rFonts w:cs="Times New Roman"/>
                <w:szCs w:val="22"/>
              </w:rPr>
            </w:pPr>
            <w:r>
              <w:rPr>
                <w:rFonts w:cs="Times New Roman"/>
                <w:szCs w:val="22"/>
              </w:rPr>
              <w:t>Percent endorsement (latest year)</w:t>
            </w:r>
          </w:p>
        </w:tc>
        <w:tc>
          <w:tcPr>
            <w:tcW w:w="627" w:type="pct"/>
            <w:tcBorders>
              <w:top w:val="single" w:sz="2" w:space="0" w:color="106CB5"/>
              <w:bottom w:val="single" w:sz="2" w:space="0" w:color="126CB5"/>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73.5</w:t>
            </w:r>
          </w:p>
        </w:tc>
        <w:tc>
          <w:tcPr>
            <w:tcW w:w="627" w:type="pct"/>
            <w:tcBorders>
              <w:top w:val="single" w:sz="2" w:space="0" w:color="106CB5"/>
              <w:bottom w:val="single" w:sz="2" w:space="0" w:color="126CB5"/>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81.1</w:t>
            </w:r>
          </w:p>
        </w:tc>
        <w:tc>
          <w:tcPr>
            <w:tcW w:w="627" w:type="pct"/>
            <w:tcBorders>
              <w:top w:val="single" w:sz="2" w:space="0" w:color="106CB5"/>
              <w:bottom w:val="single" w:sz="2" w:space="0" w:color="126CB5"/>
            </w:tcBorders>
            <w:shd w:val="clear" w:color="auto" w:fill="D9D9D9" w:themeFill="background1" w:themeFillShade="D9"/>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72.6</w:t>
            </w:r>
          </w:p>
        </w:tc>
        <w:tc>
          <w:tcPr>
            <w:tcW w:w="663" w:type="pct"/>
            <w:tcBorders>
              <w:top w:val="single" w:sz="2" w:space="0" w:color="106CB5"/>
              <w:bottom w:val="single" w:sz="2" w:space="0" w:color="126CB5"/>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89.0</w:t>
            </w:r>
          </w:p>
        </w:tc>
        <w:tc>
          <w:tcPr>
            <w:tcW w:w="626" w:type="pct"/>
            <w:tcBorders>
              <w:top w:val="single" w:sz="2" w:space="0" w:color="106CB5"/>
              <w:bottom w:val="single" w:sz="2" w:space="0" w:color="126CB5"/>
            </w:tcBorders>
            <w:shd w:val="clear" w:color="auto" w:fill="D9D9D9" w:themeFill="background1" w:themeFillShade="D9"/>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Lower</w:t>
            </w:r>
          </w:p>
        </w:tc>
      </w:tr>
      <w:tr w:rsidR="00D40B4D" w:rsidTr="00D40B4D">
        <w:trP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26CB5"/>
              <w:bottom w:val="single" w:sz="2" w:space="0" w:color="106CB5"/>
            </w:tcBorders>
            <w:shd w:val="clear" w:color="auto" w:fill="FFFFFF" w:themeFill="background1"/>
            <w:noWrap/>
            <w:vAlign w:val="center"/>
          </w:tcPr>
          <w:p w:rsidR="002A03C0" w:rsidRDefault="00F56EC4">
            <w:pPr>
              <w:spacing w:before="40" w:after="40" w:line="240" w:lineRule="auto"/>
              <w:rPr>
                <w:rFonts w:cs="Times New Roman"/>
                <w:szCs w:val="22"/>
              </w:rPr>
            </w:pPr>
            <w:r>
              <w:rPr>
                <w:rFonts w:cs="Times New Roman"/>
                <w:szCs w:val="22"/>
              </w:rPr>
              <w:t>Percent endorsement (2 year average)</w:t>
            </w:r>
          </w:p>
        </w:tc>
        <w:tc>
          <w:tcPr>
            <w:tcW w:w="627" w:type="pct"/>
            <w:tcBorders>
              <w:top w:val="single" w:sz="2" w:space="0" w:color="126CB5"/>
              <w:bottom w:val="single" w:sz="2" w:space="0" w:color="106CB5"/>
            </w:tcBorders>
            <w:shd w:val="clear" w:color="auto" w:fill="FFFFFF" w:themeFill="background1"/>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72.6</w:t>
            </w:r>
          </w:p>
        </w:tc>
        <w:tc>
          <w:tcPr>
            <w:tcW w:w="627" w:type="pct"/>
            <w:tcBorders>
              <w:top w:val="single" w:sz="2" w:space="0" w:color="126CB5"/>
              <w:bottom w:val="single" w:sz="2" w:space="0" w:color="106CB5"/>
            </w:tcBorders>
            <w:shd w:val="clear" w:color="auto" w:fill="FFFFFF" w:themeFill="background1"/>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81.7</w:t>
            </w:r>
          </w:p>
        </w:tc>
        <w:tc>
          <w:tcPr>
            <w:tcW w:w="627" w:type="pct"/>
            <w:tcBorders>
              <w:top w:val="single" w:sz="2" w:space="0" w:color="126CB5"/>
              <w:bottom w:val="single" w:sz="2" w:space="0" w:color="106CB5"/>
            </w:tcBorders>
            <w:shd w:val="clear" w:color="auto" w:fill="FFFFFF" w:themeFill="background1"/>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73.8</w:t>
            </w:r>
          </w:p>
        </w:tc>
        <w:tc>
          <w:tcPr>
            <w:tcW w:w="663" w:type="pct"/>
            <w:tcBorders>
              <w:top w:val="single" w:sz="2" w:space="0" w:color="126CB5"/>
              <w:bottom w:val="single" w:sz="2" w:space="0" w:color="106CB5"/>
            </w:tcBorders>
            <w:shd w:val="clear" w:color="auto" w:fill="FFFFFF" w:themeFill="background1"/>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88.7</w:t>
            </w:r>
          </w:p>
        </w:tc>
        <w:tc>
          <w:tcPr>
            <w:tcW w:w="626" w:type="pct"/>
            <w:tcBorders>
              <w:top w:val="single" w:sz="2" w:space="0" w:color="126CB5"/>
              <w:bottom w:val="single" w:sz="2" w:space="0" w:color="106CB5"/>
            </w:tcBorders>
            <w:shd w:val="clear" w:color="auto" w:fill="FFFFFF" w:themeFill="background1"/>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Lower</w:t>
            </w:r>
          </w:p>
        </w:tc>
      </w:tr>
    </w:tbl>
    <w:p w:rsidR="002A03C0" w:rsidRDefault="00F56EC4">
      <w:pPr>
        <w:spacing w:after="0" w:line="240" w:lineRule="auto"/>
      </w:pPr>
      <w:r>
        <w:br w:type="page"/>
      </w:r>
    </w:p>
    <w:p w:rsidR="002A03C0" w:rsidRDefault="00F34A83">
      <w:pPr>
        <w:pStyle w:val="ESBodyText"/>
        <w:rPr>
          <w:rFonts w:eastAsiaTheme="majorEastAsia" w:cstheme="majorBidi"/>
          <w:bCs/>
          <w:szCs w:val="20"/>
        </w:rPr>
      </w:pPr>
    </w:p>
    <w:p w:rsidR="002A03C0" w:rsidRDefault="00F56EC4">
      <w:pPr>
        <w:pStyle w:val="ESBodyText"/>
        <w:rPr>
          <w:rFonts w:eastAsiaTheme="majorEastAsia" w:cstheme="majorBidi"/>
          <w:b/>
          <w:bCs/>
          <w:color w:val="00008B"/>
          <w:szCs w:val="20"/>
        </w:rPr>
      </w:pPr>
      <w:r>
        <w:rPr>
          <w:rFonts w:eastAsiaTheme="majorEastAsia" w:cstheme="majorBidi"/>
          <w:b/>
          <w:bCs/>
          <w:color w:val="00008B"/>
          <w:szCs w:val="20"/>
        </w:rPr>
        <w:t>Student Attitudes to School – Management of Bullying</w:t>
      </w:r>
    </w:p>
    <w:p w:rsidR="002A03C0" w:rsidRDefault="00F56EC4">
      <w:pPr>
        <w:pStyle w:val="ESBodyText"/>
        <w:rPr>
          <w:rFonts w:eastAsiaTheme="majorEastAsia" w:cstheme="majorBidi"/>
          <w:bCs/>
          <w:szCs w:val="20"/>
        </w:rPr>
      </w:pPr>
      <w:r>
        <w:t>The percent endorsement on Management of Bullying factor, as reported in the Attitudes to School Survey completed annually by Victorian Government school students in year levels 4 to 6.</w:t>
      </w:r>
    </w:p>
    <w:p w:rsidR="002A03C0" w:rsidRDefault="00F56EC4">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student perception of safety"/>
      </w:tblPr>
      <w:tblGrid>
        <w:gridCol w:w="3800"/>
        <w:gridCol w:w="1293"/>
        <w:gridCol w:w="1293"/>
        <w:gridCol w:w="1293"/>
        <w:gridCol w:w="1460"/>
        <w:gridCol w:w="1289"/>
      </w:tblGrid>
      <w:tr w:rsidR="00D40B4D" w:rsidTr="00D40B4D">
        <w:trPr>
          <w:cnfStyle w:val="100000000000" w:firstRow="1" w:lastRow="0" w:firstColumn="0" w:lastColumn="0" w:oddVBand="0" w:evenVBand="0" w:oddHBand="0" w:evenHBand="0" w:firstRowFirstColumn="0" w:firstRowLastColumn="0" w:lastRowFirstColumn="0" w:lastRowLastColumn="0"/>
          <w:trHeight w:val="661"/>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single" w:sz="12" w:space="0" w:color="FFFFFF"/>
            </w:tcBorders>
            <w:shd w:val="clear" w:color="auto" w:fill="106CB5"/>
            <w:vAlign w:val="center"/>
            <w:hideMark/>
          </w:tcPr>
          <w:p w:rsidR="002A03C0" w:rsidRDefault="00F56EC4">
            <w:pPr>
              <w:spacing w:before="40" w:after="40" w:line="240" w:lineRule="auto"/>
              <w:rPr>
                <w:rFonts w:cs="Times New Roman"/>
                <w:color w:val="FFFFFF"/>
                <w:szCs w:val="22"/>
              </w:rPr>
            </w:pPr>
            <w:r>
              <w:t xml:space="preserve"> </w:t>
            </w:r>
            <w:r>
              <w:rPr>
                <w:rFonts w:cs="Times New Roman"/>
                <w:color w:val="FFFFFF"/>
                <w:szCs w:val="22"/>
              </w:rPr>
              <w:t>Management of Bullying</w:t>
            </w:r>
          </w:p>
        </w:tc>
        <w:tc>
          <w:tcPr>
            <w:tcW w:w="620"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0"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0"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700" w:type="pct"/>
            <w:tcBorders>
              <w:bottom w:val="single" w:sz="12" w:space="0" w:color="FFFFFF"/>
            </w:tcBorders>
            <w:shd w:val="clear" w:color="auto" w:fill="106CB5"/>
            <w:vAlign w:val="center"/>
            <w:hideMark/>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18" w:type="pct"/>
            <w:tcBorders>
              <w:bottom w:val="single" w:sz="12" w:space="0" w:color="FFFFFF"/>
            </w:tcBorders>
            <w:shd w:val="clear" w:color="auto" w:fill="106CB5"/>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D40B4D" w:rsidTr="00D40B4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12" w:space="0" w:color="FFFFFF"/>
              <w:bottom w:val="single" w:sz="2" w:space="0" w:color="106CB5"/>
            </w:tcBorders>
            <w:shd w:val="clear" w:color="auto" w:fill="FFFFFF"/>
            <w:noWrap/>
            <w:vAlign w:val="center"/>
          </w:tcPr>
          <w:p w:rsidR="002A03C0" w:rsidRDefault="00F34A83">
            <w:pPr>
              <w:spacing w:before="40" w:after="40" w:line="240" w:lineRule="auto"/>
              <w:rPr>
                <w:rFonts w:cs="Times New Roman"/>
                <w:szCs w:val="22"/>
              </w:rPr>
            </w:pPr>
          </w:p>
        </w:tc>
        <w:tc>
          <w:tcPr>
            <w:tcW w:w="620"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00" w:type="pct"/>
            <w:tcBorders>
              <w:top w:val="single" w:sz="12" w:space="0" w:color="FFFFFF"/>
              <w:bottom w:val="single" w:sz="2" w:space="0" w:color="106CB5"/>
            </w:tcBorders>
            <w:shd w:val="clear" w:color="auto" w:fill="FFFFFF"/>
            <w:noWrap/>
            <w:vAlign w:val="center"/>
          </w:tcPr>
          <w:p w:rsidR="002A03C0" w:rsidRDefault="00F56EC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18" w:type="pct"/>
            <w:tcBorders>
              <w:top w:val="single" w:sz="12" w:space="0" w:color="FFFFFF"/>
              <w:bottom w:val="single" w:sz="2" w:space="0" w:color="106CB5"/>
            </w:tcBorders>
            <w:shd w:val="clear" w:color="auto" w:fill="FFFFFF"/>
          </w:tcPr>
          <w:p w:rsidR="002A03C0" w:rsidRDefault="00F34A8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D40B4D" w:rsidTr="00D40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shd w:val="clear" w:color="auto" w:fill="D9D9D9" w:themeFill="background1" w:themeFillShade="D9"/>
            <w:noWrap/>
            <w:vAlign w:val="center"/>
          </w:tcPr>
          <w:p w:rsidR="002A03C0" w:rsidRDefault="00F56EC4">
            <w:pPr>
              <w:spacing w:before="40" w:after="40" w:line="240" w:lineRule="auto"/>
              <w:rPr>
                <w:rFonts w:cs="Times New Roman"/>
                <w:szCs w:val="22"/>
              </w:rPr>
            </w:pPr>
            <w:r>
              <w:rPr>
                <w:rFonts w:cs="Times New Roman"/>
                <w:szCs w:val="22"/>
              </w:rPr>
              <w:t>Percent endorsement (latest year)</w:t>
            </w:r>
          </w:p>
        </w:tc>
        <w:tc>
          <w:tcPr>
            <w:tcW w:w="620" w:type="pct"/>
            <w:tcBorders>
              <w:top w:val="single" w:sz="2" w:space="0" w:color="106CB5"/>
              <w:bottom w:val="single" w:sz="2" w:space="0" w:color="106CB5"/>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72.3</w:t>
            </w:r>
          </w:p>
        </w:tc>
        <w:tc>
          <w:tcPr>
            <w:tcW w:w="620" w:type="pct"/>
            <w:tcBorders>
              <w:top w:val="single" w:sz="2" w:space="0" w:color="106CB5"/>
              <w:bottom w:val="single" w:sz="2" w:space="0" w:color="106CB5"/>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81.2</w:t>
            </w:r>
          </w:p>
        </w:tc>
        <w:tc>
          <w:tcPr>
            <w:tcW w:w="620" w:type="pct"/>
            <w:tcBorders>
              <w:top w:val="single" w:sz="2" w:space="0" w:color="106CB5"/>
              <w:bottom w:val="single" w:sz="2" w:space="0" w:color="106CB5"/>
            </w:tcBorders>
            <w:shd w:val="clear" w:color="auto" w:fill="D9D9D9" w:themeFill="background1" w:themeFillShade="D9"/>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72.2</w:t>
            </w:r>
          </w:p>
        </w:tc>
        <w:tc>
          <w:tcPr>
            <w:tcW w:w="700" w:type="pct"/>
            <w:tcBorders>
              <w:top w:val="single" w:sz="2" w:space="0" w:color="106CB5"/>
              <w:bottom w:val="single" w:sz="2" w:space="0" w:color="106CB5"/>
            </w:tcBorders>
            <w:shd w:val="clear" w:color="auto" w:fill="D9D9D9" w:themeFill="background1" w:themeFillShade="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 xml:space="preserve"> 90.3</w:t>
            </w:r>
          </w:p>
        </w:tc>
        <w:tc>
          <w:tcPr>
            <w:tcW w:w="618" w:type="pct"/>
            <w:tcBorders>
              <w:top w:val="single" w:sz="2" w:space="0" w:color="106CB5"/>
              <w:bottom w:val="single" w:sz="2" w:space="0" w:color="106CB5"/>
            </w:tcBorders>
            <w:shd w:val="clear" w:color="auto" w:fill="D9D9D9" w:themeFill="background1" w:themeFillShade="D9"/>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Lower</w:t>
            </w:r>
          </w:p>
        </w:tc>
      </w:tr>
      <w:tr w:rsidR="00D40B4D" w:rsidTr="00D40B4D">
        <w:tblPrEx>
          <w:jc w:val="left"/>
        </w:tblPrEx>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noWrap/>
          </w:tcPr>
          <w:p w:rsidR="002A03C0" w:rsidRDefault="00F56EC4">
            <w:pPr>
              <w:spacing w:before="40" w:after="40" w:line="240" w:lineRule="auto"/>
              <w:rPr>
                <w:rFonts w:cs="Times New Roman"/>
                <w:szCs w:val="22"/>
              </w:rPr>
            </w:pPr>
            <w:r>
              <w:rPr>
                <w:rFonts w:cs="Times New Roman"/>
                <w:szCs w:val="22"/>
              </w:rPr>
              <w:t>Percent endorsement (2 year average)</w:t>
            </w:r>
          </w:p>
        </w:tc>
        <w:tc>
          <w:tcPr>
            <w:tcW w:w="620" w:type="pct"/>
            <w:tcBorders>
              <w:top w:val="single" w:sz="2" w:space="0" w:color="106CB5"/>
              <w:bottom w:val="single" w:sz="2" w:space="0" w:color="106CB5"/>
            </w:tcBorders>
            <w:noWrap/>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68.3</w:t>
            </w:r>
          </w:p>
        </w:tc>
        <w:tc>
          <w:tcPr>
            <w:tcW w:w="620" w:type="pct"/>
            <w:tcBorders>
              <w:top w:val="single" w:sz="2" w:space="0" w:color="106CB5"/>
              <w:bottom w:val="single" w:sz="2" w:space="0" w:color="106CB5"/>
            </w:tcBorders>
            <w:noWrap/>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81.8</w:t>
            </w:r>
          </w:p>
        </w:tc>
        <w:tc>
          <w:tcPr>
            <w:tcW w:w="620" w:type="pct"/>
            <w:tcBorders>
              <w:top w:val="single" w:sz="2" w:space="0" w:color="106CB5"/>
              <w:bottom w:val="single" w:sz="2" w:space="0" w:color="106CB5"/>
            </w:tcBorders>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73.7</w:t>
            </w:r>
          </w:p>
        </w:tc>
        <w:tc>
          <w:tcPr>
            <w:tcW w:w="700" w:type="pct"/>
            <w:tcBorders>
              <w:top w:val="single" w:sz="2" w:space="0" w:color="106CB5"/>
              <w:bottom w:val="single" w:sz="2" w:space="0" w:color="106CB5"/>
            </w:tcBorders>
            <w:noWrap/>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 xml:space="preserve"> 89.7</w:t>
            </w:r>
          </w:p>
        </w:tc>
        <w:tc>
          <w:tcPr>
            <w:tcW w:w="618" w:type="pct"/>
            <w:tcBorders>
              <w:top w:val="single" w:sz="2" w:space="0" w:color="106CB5"/>
              <w:bottom w:val="single" w:sz="2" w:space="0" w:color="106CB5"/>
            </w:tcBorders>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Lower</w:t>
            </w:r>
          </w:p>
        </w:tc>
      </w:tr>
    </w:tbl>
    <w:p w:rsidR="002A03C0" w:rsidRDefault="00F34A83">
      <w:pPr>
        <w:spacing w:after="0" w:line="240" w:lineRule="auto"/>
      </w:pPr>
    </w:p>
    <w:p w:rsidR="002A03C0" w:rsidRDefault="00F56EC4">
      <w:pPr>
        <w:spacing w:after="0" w:line="240" w:lineRule="auto"/>
      </w:pPr>
      <w:r>
        <w:br w:type="page"/>
      </w:r>
    </w:p>
    <w:p w:rsidR="002A03C0" w:rsidRDefault="00F56EC4">
      <w:pPr>
        <w:spacing w:after="0" w:line="240" w:lineRule="auto"/>
        <w:jc w:val="center"/>
        <w:rPr>
          <w:rFonts w:eastAsia="MS Gothic" w:cs="Times New Roman"/>
          <w:b/>
          <w:spacing w:val="5"/>
          <w:kern w:val="28"/>
          <w:sz w:val="44"/>
          <w:szCs w:val="52"/>
        </w:rPr>
      </w:pPr>
      <w:r>
        <w:rPr>
          <w:rFonts w:eastAsia="MS Gothic" w:cs="Times New Roman"/>
          <w:b/>
          <w:spacing w:val="5"/>
          <w:kern w:val="28"/>
          <w:sz w:val="44"/>
          <w:szCs w:val="52"/>
        </w:rPr>
        <w:lastRenderedPageBreak/>
        <w:t>Financial Performance and Position</w:t>
      </w:r>
    </w:p>
    <w:p w:rsidR="002A03C0" w:rsidRDefault="00F56EC4">
      <w:pPr>
        <w:keepNext/>
        <w:keepLines/>
        <w:spacing w:before="36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Performance - Operating Statement Summary for the year ending 31 December, 2018</w:t>
      </w:r>
    </w:p>
    <w:tbl>
      <w:tblPr>
        <w:tblStyle w:val="GridTable2-Accent6121"/>
        <w:tblW w:w="2876" w:type="pct"/>
        <w:jc w:val="center"/>
        <w:tblLook w:val="04A0" w:firstRow="1" w:lastRow="0" w:firstColumn="1" w:lastColumn="0" w:noHBand="0" w:noVBand="1"/>
        <w:tblCaption w:val="FInance - Revenue Table"/>
      </w:tblPr>
      <w:tblGrid>
        <w:gridCol w:w="4428"/>
        <w:gridCol w:w="1765"/>
      </w:tblGrid>
      <w:tr w:rsidR="00D40B4D" w:rsidTr="00D40B4D">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106CB5"/>
            <w:vAlign w:val="center"/>
            <w:hideMark/>
          </w:tcPr>
          <w:p w:rsidR="002A03C0" w:rsidRDefault="00F56EC4">
            <w:pPr>
              <w:spacing w:before="40" w:after="40" w:line="240" w:lineRule="auto"/>
              <w:rPr>
                <w:rFonts w:eastAsia="MS Mincho" w:cs="Times New Roman"/>
                <w:color w:val="FFFFFF"/>
                <w:szCs w:val="22"/>
              </w:rPr>
            </w:pPr>
            <w:r>
              <w:rPr>
                <w:rFonts w:eastAsia="MS Mincho" w:cs="Times New Roman"/>
                <w:b w:val="0"/>
                <w:color w:val="FFFFFF"/>
                <w:szCs w:val="22"/>
              </w:rPr>
              <w:t>Revenue</w:t>
            </w:r>
          </w:p>
        </w:tc>
        <w:tc>
          <w:tcPr>
            <w:tcW w:w="1425" w:type="pct"/>
            <w:shd w:val="clear" w:color="auto" w:fill="106CB5"/>
            <w:vAlign w:val="center"/>
            <w:hideMark/>
          </w:tcPr>
          <w:p w:rsidR="002A03C0" w:rsidRDefault="00F56EC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eastAsia="MS Mincho" w:cs="Times New Roman"/>
                <w:b w:val="0"/>
                <w:color w:val="FFFFFF"/>
                <w:szCs w:val="22"/>
              </w:rPr>
              <w:t>Actual</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12" w:space="0" w:color="FFFFFF"/>
              <w:bottom w:val="nil"/>
              <w:right w:val="single" w:sz="4" w:space="0" w:color="FFFFFF"/>
            </w:tcBorders>
            <w:shd w:val="clear" w:color="auto" w:fill="D9D9D9"/>
            <w:noWrap/>
            <w:vAlign w:val="center"/>
            <w:hideMark/>
          </w:tcPr>
          <w:p w:rsidR="002A03C0" w:rsidRDefault="00F56EC4">
            <w:pPr>
              <w:spacing w:before="40" w:after="40" w:line="240" w:lineRule="auto"/>
              <w:rPr>
                <w:rFonts w:eastAsia="MS Mincho" w:cs="Times New Roman"/>
                <w:szCs w:val="22"/>
              </w:rPr>
            </w:pPr>
            <w:r>
              <w:rPr>
                <w:rFonts w:eastAsia="MS Mincho" w:cs="Times New Roman"/>
                <w:b w:val="0"/>
                <w:szCs w:val="22"/>
              </w:rPr>
              <w:t>Student Resource Package</w:t>
            </w:r>
          </w:p>
        </w:tc>
        <w:tc>
          <w:tcPr>
            <w:tcW w:w="1425" w:type="pct"/>
            <w:tcBorders>
              <w:top w:val="single" w:sz="12" w:space="0" w:color="FFFFFF"/>
              <w:left w:val="single" w:sz="4" w:space="0" w:color="FFFFFF"/>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$4,214,070</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2A03C0" w:rsidRDefault="00F56EC4">
            <w:pPr>
              <w:spacing w:before="40" w:after="40" w:line="240" w:lineRule="auto"/>
              <w:rPr>
                <w:rFonts w:eastAsia="MS Mincho" w:cs="Times New Roman"/>
                <w:szCs w:val="22"/>
              </w:rPr>
            </w:pPr>
            <w:r>
              <w:rPr>
                <w:rFonts w:eastAsia="MS Mincho" w:cs="Times New Roman"/>
                <w:b w:val="0"/>
                <w:szCs w:val="22"/>
              </w:rPr>
              <w:t>Government Provided DET Grants</w:t>
            </w:r>
          </w:p>
        </w:tc>
        <w:tc>
          <w:tcPr>
            <w:tcW w:w="1425" w:type="pct"/>
            <w:tcBorders>
              <w:top w:val="nil"/>
              <w:left w:val="single" w:sz="4" w:space="0" w:color="FFFFFF"/>
              <w:bottom w:val="nil"/>
            </w:tcBorders>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$525,733</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2A03C0" w:rsidRDefault="00F56EC4">
            <w:pPr>
              <w:spacing w:before="40" w:after="40" w:line="240" w:lineRule="auto"/>
              <w:rPr>
                <w:rFonts w:eastAsia="MS Mincho" w:cs="Times New Roman"/>
                <w:szCs w:val="22"/>
              </w:rPr>
            </w:pPr>
            <w:r>
              <w:rPr>
                <w:rFonts w:eastAsia="MS Mincho" w:cs="Times New Roman"/>
                <w:b w:val="0"/>
                <w:szCs w:val="22"/>
              </w:rPr>
              <w:t>Government Grants Commonwealth</w:t>
            </w:r>
          </w:p>
        </w:tc>
        <w:tc>
          <w:tcPr>
            <w:tcW w:w="1425" w:type="pct"/>
            <w:tcBorders>
              <w:top w:val="nil"/>
              <w:left w:val="single" w:sz="4" w:space="0" w:color="FFFFFF"/>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$7,166</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2A03C0" w:rsidRDefault="00F56EC4">
            <w:pPr>
              <w:spacing w:before="40" w:after="40" w:line="240" w:lineRule="auto"/>
              <w:rPr>
                <w:rFonts w:eastAsia="MS Mincho" w:cs="Times New Roman"/>
                <w:szCs w:val="22"/>
              </w:rPr>
            </w:pPr>
            <w:r>
              <w:rPr>
                <w:rFonts w:eastAsia="MS Mincho" w:cs="Times New Roman"/>
                <w:b w:val="0"/>
                <w:szCs w:val="22"/>
              </w:rPr>
              <w:t>Government Grants State</w:t>
            </w:r>
          </w:p>
        </w:tc>
        <w:tc>
          <w:tcPr>
            <w:tcW w:w="1425" w:type="pct"/>
            <w:tcBorders>
              <w:top w:val="nil"/>
              <w:left w:val="single" w:sz="4" w:space="0" w:color="FFFFFF"/>
              <w:bottom w:val="nil"/>
            </w:tcBorders>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$0</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2A03C0" w:rsidRDefault="00F56EC4">
            <w:pPr>
              <w:spacing w:before="40" w:after="40" w:line="240" w:lineRule="auto"/>
              <w:rPr>
                <w:rFonts w:eastAsia="MS Mincho" w:cs="Times New Roman"/>
                <w:szCs w:val="22"/>
              </w:rPr>
            </w:pPr>
            <w:r>
              <w:rPr>
                <w:rFonts w:eastAsia="MS Mincho" w:cs="Times New Roman"/>
                <w:b w:val="0"/>
                <w:szCs w:val="22"/>
              </w:rPr>
              <w:t>Revenue Other</w:t>
            </w:r>
          </w:p>
        </w:tc>
        <w:tc>
          <w:tcPr>
            <w:tcW w:w="1425" w:type="pct"/>
            <w:tcBorders>
              <w:top w:val="nil"/>
              <w:left w:val="single" w:sz="4" w:space="0" w:color="FFFFFF"/>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$20,682</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2" w:space="0" w:color="106CB5"/>
              <w:right w:val="nil"/>
            </w:tcBorders>
            <w:shd w:val="clear" w:color="auto" w:fill="auto"/>
            <w:noWrap/>
            <w:vAlign w:val="center"/>
          </w:tcPr>
          <w:p w:rsidR="002A03C0" w:rsidRDefault="00F56EC4">
            <w:pPr>
              <w:spacing w:before="40" w:after="40" w:line="240" w:lineRule="auto"/>
              <w:rPr>
                <w:rFonts w:eastAsia="MS Mincho" w:cs="Times New Roman"/>
                <w:szCs w:val="22"/>
              </w:rPr>
            </w:pPr>
            <w:r>
              <w:rPr>
                <w:rFonts w:eastAsia="MS Mincho" w:cs="Times New Roman"/>
                <w:b w:val="0"/>
                <w:szCs w:val="22"/>
              </w:rPr>
              <w:t>Locally Raised Funds</w:t>
            </w:r>
          </w:p>
        </w:tc>
        <w:tc>
          <w:tcPr>
            <w:tcW w:w="1425" w:type="pct"/>
            <w:tcBorders>
              <w:top w:val="nil"/>
              <w:left w:val="nil"/>
              <w:bottom w:val="single" w:sz="2" w:space="0" w:color="106CB5"/>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$629,937</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2" w:space="0" w:color="106CB5"/>
              <w:bottom w:val="single" w:sz="2" w:space="0" w:color="106CB5"/>
            </w:tcBorders>
            <w:noWrap/>
            <w:vAlign w:val="center"/>
            <w:hideMark/>
          </w:tcPr>
          <w:p w:rsidR="002A03C0" w:rsidRDefault="00F56EC4">
            <w:pPr>
              <w:spacing w:before="40" w:after="40" w:line="240" w:lineRule="auto"/>
              <w:rPr>
                <w:rFonts w:eastAsia="MS Mincho" w:cs="Times New Roman"/>
                <w:szCs w:val="22"/>
              </w:rPr>
            </w:pPr>
            <w:r>
              <w:rPr>
                <w:rFonts w:eastAsia="MS Mincho" w:cs="Times New Roman"/>
                <w:szCs w:val="22"/>
              </w:rPr>
              <w:t>Total Operating Revenue</w:t>
            </w:r>
          </w:p>
        </w:tc>
        <w:tc>
          <w:tcPr>
            <w:tcW w:w="1425" w:type="pct"/>
            <w:tcBorders>
              <w:top w:val="single" w:sz="2" w:space="0" w:color="106CB5"/>
              <w:bottom w:val="single" w:sz="2" w:space="0" w:color="106CB5"/>
            </w:tcBorders>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$5,397,588</w:t>
            </w:r>
          </w:p>
        </w:tc>
      </w:tr>
    </w:tbl>
    <w:p w:rsidR="002A03C0" w:rsidRDefault="00F34A83">
      <w:pPr>
        <w:spacing w:after="0" w:line="240" w:lineRule="auto"/>
        <w:rPr>
          <w:rFonts w:eastAsia="MS Mincho"/>
        </w:rPr>
      </w:pPr>
    </w:p>
    <w:tbl>
      <w:tblPr>
        <w:tblStyle w:val="GridTable2-Accent6121"/>
        <w:tblW w:w="2876" w:type="pct"/>
        <w:jc w:val="center"/>
        <w:tblLook w:val="04A0" w:firstRow="1" w:lastRow="0" w:firstColumn="1" w:lastColumn="0" w:noHBand="0" w:noVBand="1"/>
        <w:tblCaption w:val="FInance - Equity Table"/>
      </w:tblPr>
      <w:tblGrid>
        <w:gridCol w:w="4428"/>
        <w:gridCol w:w="1765"/>
      </w:tblGrid>
      <w:tr w:rsidR="00D40B4D" w:rsidTr="00D40B4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noWrap/>
            <w:vAlign w:val="center"/>
          </w:tcPr>
          <w:p w:rsidR="002A03C0" w:rsidRDefault="00F56EC4">
            <w:pPr>
              <w:spacing w:before="40" w:after="40" w:line="240" w:lineRule="auto"/>
              <w:rPr>
                <w:rFonts w:eastAsia="MS Mincho" w:cs="Times New Roman"/>
                <w:color w:val="FFFFFF"/>
                <w:szCs w:val="22"/>
              </w:rPr>
            </w:pPr>
            <w:r>
              <w:rPr>
                <w:rFonts w:cs="Times New Roman"/>
                <w:b w:val="0"/>
                <w:color w:val="FFFFFF"/>
                <w:szCs w:val="22"/>
              </w:rPr>
              <w:t xml:space="preserve">Equity </w:t>
            </w:r>
            <w:r>
              <w:rPr>
                <w:rFonts w:cs="Times New Roman"/>
                <w:b w:val="0"/>
                <w:color w:val="FFFFFF"/>
                <w:szCs w:val="22"/>
                <w:vertAlign w:val="superscript"/>
              </w:rPr>
              <w:t>1</w:t>
            </w:r>
          </w:p>
        </w:tc>
        <w:tc>
          <w:tcPr>
            <w:tcW w:w="1772" w:type="pct"/>
            <w:shd w:val="clear" w:color="auto" w:fill="106CB5"/>
            <w:noWrap/>
            <w:vAlign w:val="center"/>
          </w:tcPr>
          <w:p w:rsidR="002A03C0" w:rsidRDefault="00F56EC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cs="Times New Roman"/>
                <w:b w:val="0"/>
                <w:color w:val="FFFFFF"/>
                <w:szCs w:val="22"/>
              </w:rPr>
              <w:t>Actual</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tcBorders>
            <w:shd w:val="clear" w:color="auto" w:fill="D9D9D9"/>
            <w:noWrap/>
            <w:vAlign w:val="center"/>
          </w:tcPr>
          <w:p w:rsidR="002A03C0" w:rsidRDefault="00F56EC4">
            <w:pPr>
              <w:spacing w:before="40" w:after="40" w:line="240" w:lineRule="auto"/>
              <w:rPr>
                <w:rFonts w:eastAsia="MS Mincho" w:cs="Times New Roman"/>
                <w:szCs w:val="22"/>
              </w:rPr>
            </w:pPr>
            <w:r>
              <w:rPr>
                <w:rFonts w:cs="Times New Roman"/>
                <w:b w:val="0"/>
                <w:szCs w:val="22"/>
              </w:rPr>
              <w:t>Equity (Social Disadvantage)</w:t>
            </w:r>
          </w:p>
        </w:tc>
        <w:tc>
          <w:tcPr>
            <w:tcW w:w="1772" w:type="pct"/>
            <w:tcBorders>
              <w:top w:val="single" w:sz="12" w:space="0" w:color="FFFFFF"/>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$15,524</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rsidR="002A03C0" w:rsidRDefault="00F56EC4">
            <w:pPr>
              <w:spacing w:before="40" w:after="40" w:line="240" w:lineRule="auto"/>
              <w:rPr>
                <w:rFonts w:eastAsia="MS Mincho" w:cs="Times New Roman"/>
                <w:szCs w:val="22"/>
              </w:rPr>
            </w:pPr>
            <w:r>
              <w:rPr>
                <w:rFonts w:cs="Times New Roman"/>
                <w:b w:val="0"/>
                <w:szCs w:val="22"/>
              </w:rPr>
              <w:t>Equity (Catch Up)</w:t>
            </w:r>
          </w:p>
        </w:tc>
        <w:tc>
          <w:tcPr>
            <w:tcW w:w="1772" w:type="pct"/>
            <w:tcBorders>
              <w:top w:val="nil"/>
              <w:left w:val="nil"/>
              <w:bottom w:val="nil"/>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$0</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tcBorders>
            <w:shd w:val="clear" w:color="auto" w:fill="D9D9D9"/>
            <w:noWrap/>
            <w:vAlign w:val="center"/>
          </w:tcPr>
          <w:p w:rsidR="002A03C0" w:rsidRDefault="00F56EC4">
            <w:pPr>
              <w:spacing w:before="40" w:after="40" w:line="240" w:lineRule="auto"/>
              <w:rPr>
                <w:rFonts w:eastAsia="MS Mincho" w:cs="Times New Roman"/>
                <w:szCs w:val="22"/>
              </w:rPr>
            </w:pPr>
            <w:r>
              <w:rPr>
                <w:rFonts w:cs="Times New Roman"/>
                <w:b w:val="0"/>
                <w:szCs w:val="22"/>
              </w:rPr>
              <w:t>Transition Funding</w:t>
            </w:r>
          </w:p>
        </w:tc>
        <w:tc>
          <w:tcPr>
            <w:tcW w:w="1772" w:type="pct"/>
            <w:tcBorders>
              <w:top w:val="nil"/>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$0</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tcBorders>
            <w:shd w:val="clear" w:color="auto" w:fill="auto"/>
            <w:noWrap/>
            <w:vAlign w:val="center"/>
          </w:tcPr>
          <w:p w:rsidR="002A03C0" w:rsidRDefault="00F56EC4">
            <w:pPr>
              <w:spacing w:before="40" w:after="40"/>
              <w:rPr>
                <w:rFonts w:cs="Times New Roman"/>
                <w:szCs w:val="22"/>
              </w:rPr>
            </w:pPr>
            <w:r>
              <w:rPr>
                <w:rFonts w:cs="Times New Roman"/>
                <w:b w:val="0"/>
                <w:szCs w:val="22"/>
              </w:rPr>
              <w:t>Equity (Social Disadvantage – Extraordinary Growth)</w:t>
            </w:r>
          </w:p>
          <w:p w:rsidR="002A03C0" w:rsidRDefault="00F34A83">
            <w:pPr>
              <w:spacing w:before="40" w:after="40" w:line="240" w:lineRule="auto"/>
              <w:rPr>
                <w:rFonts w:eastAsia="MS Mincho" w:cs="Times New Roman"/>
                <w:color w:val="FFFFFF"/>
                <w:szCs w:val="22"/>
              </w:rPr>
            </w:pPr>
          </w:p>
        </w:tc>
        <w:tc>
          <w:tcPr>
            <w:tcW w:w="1772" w:type="pct"/>
            <w:tcBorders>
              <w:top w:val="nil"/>
              <w:bottom w:val="single" w:sz="2" w:space="0" w:color="106CB5"/>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$0</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shd w:val="clear" w:color="auto" w:fill="auto"/>
            <w:noWrap/>
            <w:vAlign w:val="center"/>
          </w:tcPr>
          <w:p w:rsidR="002A03C0" w:rsidRDefault="00F56EC4">
            <w:pPr>
              <w:spacing w:before="40" w:after="40"/>
              <w:rPr>
                <w:rFonts w:cs="Times New Roman"/>
                <w:szCs w:val="22"/>
              </w:rPr>
            </w:pPr>
            <w:r>
              <w:rPr>
                <w:rFonts w:cs="Times New Roman"/>
                <w:szCs w:val="22"/>
              </w:rPr>
              <w:t>Equity Total</w:t>
            </w:r>
          </w:p>
        </w:tc>
        <w:tc>
          <w:tcPr>
            <w:tcW w:w="1772" w:type="pct"/>
            <w:tcBorders>
              <w:top w:val="single" w:sz="2" w:space="0" w:color="106CB5"/>
              <w:bottom w:val="single" w:sz="2" w:space="0" w:color="106CB5"/>
            </w:tcBorders>
            <w:shd w:val="clear" w:color="auto" w:fill="auto"/>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$15,524</w:t>
            </w:r>
          </w:p>
        </w:tc>
      </w:tr>
    </w:tbl>
    <w:p w:rsidR="002A03C0" w:rsidRDefault="00F34A83">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e - Expenditure table"/>
      </w:tblPr>
      <w:tblGrid>
        <w:gridCol w:w="3997"/>
        <w:gridCol w:w="2196"/>
      </w:tblGrid>
      <w:tr w:rsidR="00D40B4D" w:rsidTr="00D40B4D">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7" w:type="pct"/>
            <w:shd w:val="clear" w:color="auto" w:fill="106CB5"/>
            <w:vAlign w:val="center"/>
            <w:hideMark/>
          </w:tcPr>
          <w:p w:rsidR="002A03C0" w:rsidRDefault="00F56EC4">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Expenditure</w:t>
            </w:r>
          </w:p>
        </w:tc>
        <w:tc>
          <w:tcPr>
            <w:tcW w:w="1773" w:type="pct"/>
            <w:shd w:val="clear" w:color="auto" w:fill="106CB5"/>
            <w:vAlign w:val="center"/>
            <w:hideMark/>
          </w:tcPr>
          <w:p w:rsidR="002A03C0" w:rsidRDefault="00F56EC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12" w:space="0" w:color="FFFFFF"/>
              <w:bottom w:val="nil"/>
              <w:right w:val="single" w:sz="4" w:space="0" w:color="FFFFFF"/>
            </w:tcBorders>
            <w:shd w:val="clear" w:color="auto" w:fill="D9D9D9"/>
            <w:noWrap/>
            <w:vAlign w:val="center"/>
            <w:hideMark/>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 xml:space="preserve">Student Resource Package </w:t>
            </w:r>
            <w:r>
              <w:rPr>
                <w:rFonts w:eastAsia="MS Mincho" w:cs="Times New Roman"/>
                <w:b w:val="0"/>
                <w:bCs w:val="0"/>
                <w:szCs w:val="22"/>
                <w:vertAlign w:val="superscript"/>
                <w:lang w:val="en-US"/>
              </w:rPr>
              <w:t>2</w:t>
            </w:r>
          </w:p>
        </w:tc>
        <w:tc>
          <w:tcPr>
            <w:tcW w:w="1773" w:type="pct"/>
            <w:tcBorders>
              <w:top w:val="single" w:sz="12" w:space="0" w:color="FFFFFF"/>
              <w:left w:val="single" w:sz="4" w:space="0" w:color="FFFFFF"/>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$4,055,819</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noWrap/>
            <w:vAlign w:val="center"/>
            <w:hideMark/>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Adjustments</w:t>
            </w:r>
          </w:p>
        </w:tc>
        <w:tc>
          <w:tcPr>
            <w:tcW w:w="1773" w:type="pct"/>
            <w:tcBorders>
              <w:top w:val="nil"/>
              <w:left w:val="single" w:sz="4" w:space="0" w:color="FFFFFF"/>
              <w:bottom w:val="nil"/>
            </w:tcBorders>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$87</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Books &amp; Publications</w:t>
            </w:r>
          </w:p>
        </w:tc>
        <w:tc>
          <w:tcPr>
            <w:tcW w:w="1773" w:type="pct"/>
            <w:tcBorders>
              <w:top w:val="nil"/>
              <w:left w:val="single" w:sz="4" w:space="0" w:color="FFFFFF"/>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$22,608</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Communication Costs</w:t>
            </w:r>
          </w:p>
        </w:tc>
        <w:tc>
          <w:tcPr>
            <w:tcW w:w="1773" w:type="pct"/>
            <w:tcBorders>
              <w:top w:val="nil"/>
              <w:left w:val="nil"/>
              <w:bottom w:val="nil"/>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$3,566</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Consumables</w:t>
            </w:r>
          </w:p>
        </w:tc>
        <w:tc>
          <w:tcPr>
            <w:tcW w:w="1773" w:type="pct"/>
            <w:tcBorders>
              <w:top w:val="nil"/>
              <w:left w:val="single" w:sz="4" w:space="0" w:color="FFFFFF"/>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$92,612</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 xml:space="preserve">Miscellaneous Expense </w:t>
            </w:r>
            <w:r>
              <w:rPr>
                <w:rFonts w:eastAsia="MS Mincho" w:cs="Times New Roman"/>
                <w:b w:val="0"/>
                <w:bCs w:val="0"/>
                <w:szCs w:val="22"/>
                <w:vertAlign w:val="superscript"/>
                <w:lang w:val="en-US"/>
              </w:rPr>
              <w:t>3</w:t>
            </w:r>
          </w:p>
        </w:tc>
        <w:tc>
          <w:tcPr>
            <w:tcW w:w="1773" w:type="pct"/>
            <w:tcBorders>
              <w:top w:val="nil"/>
              <w:left w:val="nil"/>
              <w:bottom w:val="nil"/>
            </w:tcBorders>
            <w:shd w:val="clear" w:color="auto" w:fill="auto"/>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$227,279</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tcBorders>
            <w:shd w:val="clear" w:color="auto" w:fill="D9D9D9"/>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Professional Development</w:t>
            </w:r>
          </w:p>
        </w:tc>
        <w:tc>
          <w:tcPr>
            <w:tcW w:w="1773" w:type="pct"/>
            <w:tcBorders>
              <w:top w:val="nil"/>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$42,882</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Property and Equipment Services</w:t>
            </w:r>
          </w:p>
        </w:tc>
        <w:tc>
          <w:tcPr>
            <w:tcW w:w="1773" w:type="pct"/>
            <w:tcBorders>
              <w:top w:val="nil"/>
              <w:left w:val="nil"/>
              <w:bottom w:val="nil"/>
            </w:tcBorders>
            <w:shd w:val="clear" w:color="auto" w:fill="auto"/>
            <w:noWrap/>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$353,476</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 xml:space="preserve">Salaries &amp; Allowances </w:t>
            </w:r>
            <w:r>
              <w:rPr>
                <w:rFonts w:eastAsia="MS Mincho" w:cs="Times New Roman"/>
                <w:b w:val="0"/>
                <w:bCs w:val="0"/>
                <w:szCs w:val="22"/>
                <w:vertAlign w:val="superscript"/>
                <w:lang w:val="en-US"/>
              </w:rPr>
              <w:t>4</w:t>
            </w:r>
          </w:p>
        </w:tc>
        <w:tc>
          <w:tcPr>
            <w:tcW w:w="1773" w:type="pct"/>
            <w:tcBorders>
              <w:top w:val="nil"/>
              <w:left w:val="single" w:sz="4" w:space="0" w:color="FFFFFF"/>
              <w:bottom w:val="nil"/>
            </w:tcBorders>
            <w:shd w:val="clear" w:color="auto" w:fill="DBD9D6"/>
            <w:noWrap/>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$289,801</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auto"/>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Trading &amp; Fundraising</w:t>
            </w:r>
          </w:p>
        </w:tc>
        <w:tc>
          <w:tcPr>
            <w:tcW w:w="1773" w:type="pct"/>
            <w:tcBorders>
              <w:top w:val="nil"/>
              <w:left w:val="single" w:sz="4" w:space="0" w:color="FFFFFF"/>
              <w:bottom w:val="nil"/>
            </w:tcBorders>
            <w:shd w:val="clear" w:color="auto" w:fill="auto"/>
            <w:noWrap/>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$70,742</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Travel &amp; Subsistence</w:t>
            </w:r>
          </w:p>
        </w:tc>
        <w:tc>
          <w:tcPr>
            <w:tcW w:w="1773" w:type="pct"/>
            <w:tcBorders>
              <w:top w:val="nil"/>
              <w:left w:val="single" w:sz="4" w:space="0" w:color="FFFFFF"/>
              <w:bottom w:val="nil"/>
            </w:tcBorders>
            <w:shd w:val="clear" w:color="auto" w:fill="DBD9D6"/>
            <w:noWrap/>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$0</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single" w:sz="2" w:space="0" w:color="106CB5"/>
              <w:right w:val="nil"/>
            </w:tcBorders>
            <w:shd w:val="clear" w:color="auto" w:fill="auto"/>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Utilities</w:t>
            </w:r>
          </w:p>
        </w:tc>
        <w:tc>
          <w:tcPr>
            <w:tcW w:w="1773" w:type="pct"/>
            <w:tcBorders>
              <w:top w:val="nil"/>
              <w:left w:val="nil"/>
              <w:bottom w:val="single" w:sz="2" w:space="0" w:color="106CB5"/>
            </w:tcBorders>
            <w:shd w:val="clear" w:color="auto" w:fill="auto"/>
            <w:noWrap/>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$50,850</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F56EC4">
            <w:pPr>
              <w:spacing w:after="0" w:line="240" w:lineRule="auto"/>
              <w:rPr>
                <w:rFonts w:eastAsia="MS Mincho" w:cs="Times New Roman"/>
                <w:szCs w:val="22"/>
                <w:lang w:val="en-US"/>
              </w:rPr>
            </w:pPr>
            <w:r>
              <w:rPr>
                <w:rFonts w:eastAsia="MS Mincho" w:cs="Times New Roman"/>
                <w:bCs w:val="0"/>
                <w:szCs w:val="22"/>
                <w:lang w:val="en-US"/>
              </w:rPr>
              <w:t>Total Operating Expenditure</w:t>
            </w:r>
          </w:p>
          <w:p w:rsidR="002A03C0" w:rsidRDefault="00F34A83">
            <w:pPr>
              <w:spacing w:before="40" w:after="40" w:line="240" w:lineRule="auto"/>
              <w:rPr>
                <w:rFonts w:eastAsia="MS Mincho" w:cs="Times New Roman"/>
                <w:szCs w:val="22"/>
                <w:lang w:val="en-US"/>
              </w:rPr>
            </w:pPr>
          </w:p>
        </w:tc>
        <w:tc>
          <w:tcPr>
            <w:tcW w:w="1773" w:type="pct"/>
            <w:tcBorders>
              <w:top w:val="single" w:sz="2" w:space="0" w:color="106CB5"/>
              <w:bottom w:val="single" w:sz="2" w:space="0" w:color="106CB5"/>
            </w:tcBorders>
            <w:shd w:val="clear" w:color="auto" w:fill="auto"/>
            <w:noWrap/>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$5,209,721</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F56EC4">
            <w:pPr>
              <w:spacing w:after="0" w:line="240" w:lineRule="auto"/>
              <w:rPr>
                <w:rFonts w:eastAsia="MS Mincho" w:cs="Times New Roman"/>
                <w:szCs w:val="22"/>
              </w:rPr>
            </w:pPr>
            <w:r>
              <w:rPr>
                <w:rFonts w:eastAsia="MS Mincho" w:cs="Times New Roman"/>
                <w:szCs w:val="22"/>
              </w:rPr>
              <w:t>Net Operating Surplus/-Deficit</w:t>
            </w:r>
          </w:p>
        </w:tc>
        <w:tc>
          <w:tcPr>
            <w:tcW w:w="1773" w:type="pct"/>
            <w:tcBorders>
              <w:top w:val="single" w:sz="2" w:space="0" w:color="106CB5"/>
              <w:bottom w:val="single" w:sz="2" w:space="0" w:color="106CB5"/>
            </w:tcBorders>
            <w:shd w:val="clear" w:color="auto" w:fill="auto"/>
            <w:noWrap/>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$187,867</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F56EC4">
            <w:pPr>
              <w:spacing w:after="0" w:line="240" w:lineRule="auto"/>
              <w:rPr>
                <w:rFonts w:eastAsia="MS Mincho" w:cs="Times New Roman"/>
                <w:szCs w:val="22"/>
              </w:rPr>
            </w:pPr>
            <w:r>
              <w:rPr>
                <w:rFonts w:eastAsia="MS Mincho" w:cs="Times New Roman"/>
                <w:szCs w:val="22"/>
              </w:rPr>
              <w:t>Asset Acquisitions</w:t>
            </w:r>
          </w:p>
        </w:tc>
        <w:tc>
          <w:tcPr>
            <w:tcW w:w="1773" w:type="pct"/>
            <w:tcBorders>
              <w:top w:val="single" w:sz="2" w:space="0" w:color="106CB5"/>
              <w:bottom w:val="single" w:sz="2" w:space="0" w:color="106CB5"/>
            </w:tcBorders>
            <w:shd w:val="clear" w:color="auto" w:fill="auto"/>
            <w:noWrap/>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$5,335</w:t>
            </w:r>
          </w:p>
        </w:tc>
      </w:tr>
    </w:tbl>
    <w:p w:rsidR="002A03C0" w:rsidRDefault="00F34A83">
      <w:pPr>
        <w:spacing w:after="0" w:line="240" w:lineRule="auto"/>
        <w:rPr>
          <w:rFonts w:eastAsia="MS Mincho"/>
        </w:rPr>
      </w:pPr>
    </w:p>
    <w:p w:rsidR="002A03C0" w:rsidRDefault="00F56EC4">
      <w:pPr>
        <w:keepNext/>
        <w:keepLines/>
        <w:spacing w:before="24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Position as at 31 December, 2018</w:t>
      </w:r>
    </w:p>
    <w:tbl>
      <w:tblPr>
        <w:tblStyle w:val="GridTable2-Accent612"/>
        <w:tblW w:w="2876" w:type="pct"/>
        <w:jc w:val="center"/>
        <w:tblLook w:val="04A0" w:firstRow="1" w:lastRow="0" w:firstColumn="1" w:lastColumn="0" w:noHBand="0" w:noVBand="1"/>
        <w:tblCaption w:val="Fund available"/>
      </w:tblPr>
      <w:tblGrid>
        <w:gridCol w:w="3998"/>
        <w:gridCol w:w="2195"/>
      </w:tblGrid>
      <w:tr w:rsidR="00D40B4D" w:rsidTr="00D40B4D">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vAlign w:val="center"/>
            <w:hideMark/>
          </w:tcPr>
          <w:p w:rsidR="002A03C0" w:rsidRDefault="00F56EC4">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Funds available</w:t>
            </w:r>
          </w:p>
        </w:tc>
        <w:tc>
          <w:tcPr>
            <w:tcW w:w="1772" w:type="pct"/>
            <w:shd w:val="clear" w:color="auto" w:fill="106CB5"/>
            <w:vAlign w:val="center"/>
            <w:hideMark/>
          </w:tcPr>
          <w:p w:rsidR="002A03C0" w:rsidRDefault="00F56EC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right w:val="single" w:sz="4" w:space="0" w:color="FFFFFF"/>
            </w:tcBorders>
            <w:shd w:val="clear" w:color="auto" w:fill="D9D9D9"/>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High Yield Investment Account</w:t>
            </w:r>
          </w:p>
        </w:tc>
        <w:tc>
          <w:tcPr>
            <w:tcW w:w="1772" w:type="pct"/>
            <w:tcBorders>
              <w:top w:val="single" w:sz="12" w:space="0" w:color="FFFFFF"/>
              <w:left w:val="single" w:sz="4" w:space="0" w:color="FFFFFF"/>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$228,782</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cBorders>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Official Account</w:t>
            </w:r>
          </w:p>
        </w:tc>
        <w:tc>
          <w:tcPr>
            <w:tcW w:w="1772" w:type="pct"/>
            <w:tcBorders>
              <w:top w:val="nil"/>
              <w:left w:val="single" w:sz="4" w:space="0" w:color="FFFFFF"/>
              <w:bottom w:val="nil"/>
            </w:tcBorders>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$68,391</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right w:val="single" w:sz="4" w:space="0" w:color="FFFFFF"/>
            </w:tcBorders>
            <w:shd w:val="clear" w:color="auto" w:fill="D9D9D9"/>
            <w:noWrap/>
            <w:vAlign w:val="center"/>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Other Accounts</w:t>
            </w:r>
          </w:p>
        </w:tc>
        <w:tc>
          <w:tcPr>
            <w:tcW w:w="1772" w:type="pct"/>
            <w:tcBorders>
              <w:top w:val="nil"/>
              <w:left w:val="single" w:sz="4" w:space="0" w:color="FFFFFF"/>
              <w:bottom w:val="single" w:sz="2" w:space="0" w:color="106CB5"/>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$207,868</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noWrap/>
            <w:vAlign w:val="center"/>
            <w:hideMark/>
          </w:tcPr>
          <w:p w:rsidR="002A03C0" w:rsidRDefault="00F56EC4">
            <w:pPr>
              <w:spacing w:before="40" w:after="40" w:line="240" w:lineRule="auto"/>
              <w:rPr>
                <w:rFonts w:eastAsia="MS Mincho" w:cs="Times New Roman"/>
                <w:szCs w:val="22"/>
                <w:lang w:val="en-US"/>
              </w:rPr>
            </w:pPr>
            <w:r>
              <w:rPr>
                <w:rFonts w:eastAsia="MS Mincho" w:cs="Times New Roman"/>
                <w:bCs w:val="0"/>
                <w:szCs w:val="22"/>
                <w:lang w:val="en-US"/>
              </w:rPr>
              <w:t>Total Funds Available</w:t>
            </w:r>
          </w:p>
        </w:tc>
        <w:tc>
          <w:tcPr>
            <w:tcW w:w="1772" w:type="pct"/>
            <w:tcBorders>
              <w:top w:val="single" w:sz="2" w:space="0" w:color="106CB5"/>
              <w:bottom w:val="single" w:sz="2" w:space="0" w:color="106CB5"/>
            </w:tcBorders>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$505,042</w:t>
            </w:r>
          </w:p>
        </w:tc>
      </w:tr>
    </w:tbl>
    <w:p w:rsidR="002A03C0" w:rsidRDefault="00F56EC4">
      <w:pPr>
        <w:spacing w:after="0" w:line="240" w:lineRule="auto"/>
        <w:rPr>
          <w:rFonts w:eastAsia="MS Mincho"/>
        </w:rPr>
      </w:pPr>
      <w:r>
        <w:rPr>
          <w:rFonts w:eastAsia="MS Mincho"/>
        </w:rPr>
        <w:br w:type="page"/>
      </w:r>
    </w:p>
    <w:p w:rsidR="002A03C0" w:rsidRDefault="00F34A83">
      <w:pPr>
        <w:spacing w:after="0" w:line="240" w:lineRule="auto"/>
        <w:rPr>
          <w:rFonts w:eastAsia="MS Mincho"/>
        </w:rPr>
      </w:pPr>
    </w:p>
    <w:p w:rsidR="002A03C0" w:rsidRDefault="00F34A83">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ial Commitments"/>
      </w:tblPr>
      <w:tblGrid>
        <w:gridCol w:w="4584"/>
        <w:gridCol w:w="1609"/>
      </w:tblGrid>
      <w:tr w:rsidR="00D40B4D" w:rsidTr="00D40B4D">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701" w:type="pct"/>
            <w:shd w:val="clear" w:color="auto" w:fill="106CB5"/>
            <w:vAlign w:val="center"/>
            <w:hideMark/>
          </w:tcPr>
          <w:p w:rsidR="002A03C0" w:rsidRDefault="00F56EC4">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Financial Commitments</w:t>
            </w:r>
          </w:p>
        </w:tc>
        <w:tc>
          <w:tcPr>
            <w:tcW w:w="1299" w:type="pct"/>
            <w:shd w:val="clear" w:color="auto" w:fill="106CB5"/>
            <w:vAlign w:val="center"/>
            <w:hideMark/>
          </w:tcPr>
          <w:p w:rsidR="002A03C0" w:rsidRDefault="00F56EC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12" w:space="0" w:color="FFFFFF"/>
              <w:bottom w:val="nil"/>
              <w:right w:val="single" w:sz="4" w:space="0" w:color="FFFFFF"/>
            </w:tcBorders>
            <w:shd w:val="clear" w:color="auto" w:fill="D9D9D9"/>
            <w:noWrap/>
            <w:vAlign w:val="center"/>
            <w:hideMark/>
          </w:tcPr>
          <w:p w:rsidR="002A03C0" w:rsidRDefault="00F56EC4">
            <w:pPr>
              <w:spacing w:before="40" w:after="40" w:line="240" w:lineRule="auto"/>
              <w:rPr>
                <w:rFonts w:eastAsia="MS Mincho" w:cs="Times New Roman"/>
                <w:szCs w:val="22"/>
                <w:lang w:val="en-US"/>
              </w:rPr>
            </w:pPr>
            <w:r>
              <w:rPr>
                <w:rFonts w:eastAsia="MS Mincho" w:cs="Times New Roman"/>
                <w:b w:val="0"/>
                <w:bCs w:val="0"/>
                <w:szCs w:val="22"/>
                <w:lang w:val="en-US"/>
              </w:rPr>
              <w:t>Operating Reserve</w:t>
            </w:r>
          </w:p>
        </w:tc>
        <w:tc>
          <w:tcPr>
            <w:tcW w:w="1299" w:type="pct"/>
            <w:tcBorders>
              <w:top w:val="single" w:sz="12" w:space="0" w:color="FFFFFF"/>
              <w:left w:val="single" w:sz="4" w:space="0" w:color="FFFFFF"/>
              <w:bottom w:val="nil"/>
            </w:tcBorders>
            <w:shd w:val="clear" w:color="auto" w:fill="D9D9D9"/>
            <w:noWrap/>
            <w:vAlign w:val="center"/>
          </w:tcPr>
          <w:p w:rsidR="002A03C0" w:rsidRDefault="00F56EC4">
            <w:pPr>
              <w:jc w:val="right"/>
              <w:cnfStyle w:val="000000100000" w:firstRow="0" w:lastRow="0" w:firstColumn="0" w:lastColumn="0" w:oddVBand="0" w:evenVBand="0" w:oddHBand="1" w:evenHBand="0" w:firstRowFirstColumn="0" w:firstRowLastColumn="0" w:lastRowFirstColumn="0" w:lastRowLastColumn="0"/>
            </w:pPr>
            <w:r>
              <w:t>$162,774</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F56EC4" w:rsidP="00A55600">
            <w:pPr>
              <w:spacing w:before="40" w:after="40" w:line="240" w:lineRule="auto"/>
              <w:rPr>
                <w:rFonts w:eastAsia="MS Mincho" w:cs="Times New Roman"/>
                <w:szCs w:val="22"/>
                <w:lang w:val="en-US"/>
              </w:rPr>
            </w:pPr>
            <w:r w:rsidRPr="0079002D">
              <w:rPr>
                <w:b w:val="0"/>
                <w:lang w:val="en-US"/>
              </w:rPr>
              <w:t>Other Recurrent Expenditure</w:t>
            </w:r>
          </w:p>
        </w:tc>
        <w:tc>
          <w:tcPr>
            <w:tcW w:w="1299" w:type="pct"/>
            <w:tcBorders>
              <w:top w:val="nil"/>
              <w:left w:val="single" w:sz="4" w:space="0" w:color="FFFFFF"/>
              <w:bottom w:val="nil"/>
            </w:tcBorders>
            <w:noWrap/>
            <w:vAlign w:val="center"/>
          </w:tcPr>
          <w:p w:rsidR="00A55600" w:rsidRDefault="00F56EC4" w:rsidP="00A55600">
            <w:pPr>
              <w:jc w:val="right"/>
              <w:cnfStyle w:val="000000000000" w:firstRow="0" w:lastRow="0" w:firstColumn="0" w:lastColumn="0" w:oddVBand="0" w:evenVBand="0" w:oddHBand="0" w:evenHBand="0" w:firstRowFirstColumn="0" w:firstRowLastColumn="0" w:lastRowFirstColumn="0" w:lastRowLastColumn="0"/>
            </w:pPr>
            <w:r>
              <w:t>$24,260</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56EC4" w:rsidP="00A55600">
            <w:pPr>
              <w:spacing w:before="40" w:after="40" w:line="240" w:lineRule="auto"/>
              <w:rPr>
                <w:rFonts w:eastAsia="MS Mincho" w:cs="Times New Roman"/>
                <w:szCs w:val="22"/>
                <w:lang w:val="en-US"/>
              </w:rPr>
            </w:pPr>
            <w:r w:rsidRPr="0079002D">
              <w:rPr>
                <w:b w:val="0"/>
                <w:lang w:val="en-US"/>
              </w:rPr>
              <w:t>Provision Accounts</w:t>
            </w:r>
          </w:p>
        </w:tc>
        <w:tc>
          <w:tcPr>
            <w:tcW w:w="1299" w:type="pct"/>
            <w:tcBorders>
              <w:top w:val="nil"/>
              <w:left w:val="single" w:sz="4" w:space="0" w:color="FFFFFF"/>
              <w:bottom w:val="nil"/>
            </w:tcBorders>
            <w:shd w:val="clear" w:color="auto" w:fill="D9D9D9"/>
            <w:noWrap/>
            <w:vAlign w:val="center"/>
          </w:tcPr>
          <w:p w:rsidR="00A55600" w:rsidRDefault="00F56EC4"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A55600" w:rsidRDefault="00F56EC4" w:rsidP="00A55600">
            <w:pPr>
              <w:spacing w:before="40" w:after="40" w:line="240" w:lineRule="auto"/>
              <w:rPr>
                <w:rFonts w:eastAsia="MS Mincho" w:cs="Times New Roman"/>
                <w:szCs w:val="22"/>
                <w:lang w:val="en-US"/>
              </w:rPr>
            </w:pPr>
            <w:r w:rsidRPr="0079002D">
              <w:rPr>
                <w:b w:val="0"/>
                <w:lang w:val="en-US"/>
              </w:rPr>
              <w:t>Funds Received in Advance</w:t>
            </w:r>
          </w:p>
        </w:tc>
        <w:tc>
          <w:tcPr>
            <w:tcW w:w="1299" w:type="pct"/>
            <w:tcBorders>
              <w:top w:val="nil"/>
              <w:left w:val="single" w:sz="4" w:space="0" w:color="FFFFFF"/>
              <w:bottom w:val="nil"/>
            </w:tcBorders>
            <w:shd w:val="clear" w:color="auto" w:fill="auto"/>
            <w:noWrap/>
            <w:vAlign w:val="center"/>
          </w:tcPr>
          <w:p w:rsidR="00A55600" w:rsidRDefault="00F56EC4" w:rsidP="00A55600">
            <w:pPr>
              <w:jc w:val="right"/>
              <w:cnfStyle w:val="000000000000" w:firstRow="0" w:lastRow="0" w:firstColumn="0" w:lastColumn="0" w:oddVBand="0" w:evenVBand="0" w:oddHBand="0" w:evenHBand="0" w:firstRowFirstColumn="0" w:firstRowLastColumn="0" w:lastRowFirstColumn="0" w:lastRowLastColumn="0"/>
            </w:pPr>
            <w:r>
              <w:t>$86,022</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BD9D6"/>
            <w:noWrap/>
          </w:tcPr>
          <w:p w:rsidR="00A55600" w:rsidRDefault="00F56EC4" w:rsidP="00A55600">
            <w:pPr>
              <w:spacing w:before="40" w:after="40" w:line="240" w:lineRule="auto"/>
              <w:rPr>
                <w:rFonts w:eastAsia="MS Mincho" w:cs="Times New Roman"/>
                <w:szCs w:val="22"/>
                <w:lang w:val="en-US"/>
              </w:rPr>
            </w:pPr>
            <w:r w:rsidRPr="0079002D">
              <w:rPr>
                <w:b w:val="0"/>
                <w:lang w:val="en-US"/>
              </w:rPr>
              <w:t>School Based Programs</w:t>
            </w:r>
          </w:p>
        </w:tc>
        <w:tc>
          <w:tcPr>
            <w:tcW w:w="1299" w:type="pct"/>
            <w:tcBorders>
              <w:top w:val="nil"/>
              <w:left w:val="single" w:sz="4" w:space="0" w:color="FFFFFF"/>
              <w:bottom w:val="nil"/>
            </w:tcBorders>
            <w:shd w:val="clear" w:color="auto" w:fill="DBD9D6"/>
            <w:noWrap/>
            <w:vAlign w:val="center"/>
          </w:tcPr>
          <w:p w:rsidR="00A55600" w:rsidRDefault="00F56EC4" w:rsidP="00A55600">
            <w:pPr>
              <w:jc w:val="right"/>
              <w:cnfStyle w:val="000000100000" w:firstRow="0" w:lastRow="0" w:firstColumn="0" w:lastColumn="0" w:oddVBand="0" w:evenVBand="0" w:oddHBand="1" w:evenHBand="0" w:firstRowFirstColumn="0" w:firstRowLastColumn="0" w:lastRowFirstColumn="0" w:lastRowLastColumn="0"/>
            </w:pPr>
            <w:r>
              <w:t>$900</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F56EC4" w:rsidP="00A55600">
            <w:pPr>
              <w:spacing w:before="40" w:after="40" w:line="240" w:lineRule="auto"/>
              <w:rPr>
                <w:rFonts w:eastAsia="MS Mincho" w:cs="Times New Roman"/>
                <w:szCs w:val="22"/>
                <w:lang w:val="en-US"/>
              </w:rPr>
            </w:pPr>
            <w:r w:rsidRPr="0079002D">
              <w:rPr>
                <w:b w:val="0"/>
                <w:lang w:val="en-US"/>
              </w:rPr>
              <w:t>Beneficiary/Memorial Accounts</w:t>
            </w:r>
          </w:p>
        </w:tc>
        <w:tc>
          <w:tcPr>
            <w:tcW w:w="1299" w:type="pct"/>
            <w:tcBorders>
              <w:top w:val="nil"/>
              <w:left w:val="single" w:sz="4" w:space="0" w:color="FFFFFF"/>
              <w:bottom w:val="nil"/>
            </w:tcBorders>
            <w:noWrap/>
            <w:vAlign w:val="center"/>
          </w:tcPr>
          <w:p w:rsidR="00A55600" w:rsidRDefault="00F56EC4"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56EC4" w:rsidP="00A55600">
            <w:pPr>
              <w:spacing w:before="40" w:after="40" w:line="240" w:lineRule="auto"/>
              <w:rPr>
                <w:rFonts w:eastAsia="MS Mincho" w:cs="Times New Roman"/>
                <w:szCs w:val="22"/>
                <w:lang w:val="en-US"/>
              </w:rPr>
            </w:pPr>
            <w:r w:rsidRPr="0079002D">
              <w:rPr>
                <w:b w:val="0"/>
                <w:lang w:val="en-US"/>
              </w:rPr>
              <w:t>Cooperative Bank Account</w:t>
            </w:r>
          </w:p>
        </w:tc>
        <w:tc>
          <w:tcPr>
            <w:tcW w:w="1299" w:type="pct"/>
            <w:tcBorders>
              <w:top w:val="nil"/>
              <w:left w:val="single" w:sz="4" w:space="0" w:color="FFFFFF"/>
              <w:bottom w:val="nil"/>
            </w:tcBorders>
            <w:shd w:val="clear" w:color="auto" w:fill="D9D9D9"/>
            <w:noWrap/>
            <w:vAlign w:val="center"/>
          </w:tcPr>
          <w:p w:rsidR="00A55600" w:rsidRDefault="00F56EC4" w:rsidP="00A55600">
            <w:pPr>
              <w:jc w:val="right"/>
              <w:cnfStyle w:val="000000100000" w:firstRow="0" w:lastRow="0" w:firstColumn="0" w:lastColumn="0" w:oddVBand="0" w:evenVBand="0" w:oddHBand="1" w:evenHBand="0" w:firstRowFirstColumn="0" w:firstRowLastColumn="0" w:lastRowFirstColumn="0" w:lastRowLastColumn="0"/>
            </w:pPr>
            <w:r>
              <w:t>$16,795</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F56EC4" w:rsidP="00A55600">
            <w:pPr>
              <w:spacing w:before="40" w:after="40" w:line="240" w:lineRule="auto"/>
              <w:rPr>
                <w:rFonts w:eastAsia="MS Mincho" w:cs="Times New Roman"/>
                <w:szCs w:val="22"/>
                <w:lang w:val="en-US"/>
              </w:rPr>
            </w:pPr>
            <w:r w:rsidRPr="0079002D">
              <w:rPr>
                <w:b w:val="0"/>
                <w:lang w:val="en-US"/>
              </w:rPr>
              <w:t>Funds for Committees/Shared Arrangements</w:t>
            </w:r>
          </w:p>
        </w:tc>
        <w:tc>
          <w:tcPr>
            <w:tcW w:w="1299" w:type="pct"/>
            <w:tcBorders>
              <w:top w:val="nil"/>
              <w:left w:val="single" w:sz="4" w:space="0" w:color="FFFFFF"/>
              <w:bottom w:val="nil"/>
            </w:tcBorders>
            <w:noWrap/>
            <w:vAlign w:val="center"/>
          </w:tcPr>
          <w:p w:rsidR="00A55600" w:rsidRDefault="00F56EC4"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56EC4" w:rsidP="00A55600">
            <w:pPr>
              <w:spacing w:before="40" w:after="40" w:line="240" w:lineRule="auto"/>
              <w:rPr>
                <w:rFonts w:eastAsia="MS Mincho" w:cs="Times New Roman"/>
                <w:szCs w:val="22"/>
                <w:lang w:val="en-US"/>
              </w:rPr>
            </w:pPr>
            <w:r w:rsidRPr="0079002D">
              <w:rPr>
                <w:b w:val="0"/>
                <w:lang w:val="en-US"/>
              </w:rPr>
              <w:t>Repayable to the Department</w:t>
            </w:r>
          </w:p>
        </w:tc>
        <w:tc>
          <w:tcPr>
            <w:tcW w:w="1299" w:type="pct"/>
            <w:tcBorders>
              <w:top w:val="nil"/>
              <w:left w:val="single" w:sz="4" w:space="0" w:color="FFFFFF"/>
              <w:bottom w:val="nil"/>
            </w:tcBorders>
            <w:shd w:val="clear" w:color="auto" w:fill="D9D9D9"/>
            <w:noWrap/>
            <w:vAlign w:val="center"/>
          </w:tcPr>
          <w:p w:rsidR="00A55600" w:rsidRDefault="00F56EC4"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F56EC4" w:rsidP="00A55600">
            <w:pPr>
              <w:spacing w:before="40" w:after="40" w:line="240" w:lineRule="auto"/>
              <w:rPr>
                <w:rFonts w:eastAsia="MS Mincho" w:cs="Times New Roman"/>
                <w:szCs w:val="22"/>
                <w:lang w:val="en-US"/>
              </w:rPr>
            </w:pPr>
            <w:r w:rsidRPr="0079002D">
              <w:rPr>
                <w:b w:val="0"/>
                <w:lang w:val="en-US"/>
              </w:rPr>
              <w:t>Asset/Equipment Replacement &lt; 12 months</w:t>
            </w:r>
          </w:p>
        </w:tc>
        <w:tc>
          <w:tcPr>
            <w:tcW w:w="1299" w:type="pct"/>
            <w:tcBorders>
              <w:top w:val="nil"/>
              <w:left w:val="single" w:sz="4" w:space="0" w:color="FFFFFF"/>
              <w:bottom w:val="nil"/>
            </w:tcBorders>
            <w:noWrap/>
            <w:vAlign w:val="center"/>
          </w:tcPr>
          <w:p w:rsidR="00A55600" w:rsidRDefault="00F56EC4" w:rsidP="00A55600">
            <w:pPr>
              <w:jc w:val="right"/>
              <w:cnfStyle w:val="000000000000" w:firstRow="0" w:lastRow="0" w:firstColumn="0" w:lastColumn="0" w:oddVBand="0" w:evenVBand="0" w:oddHBand="0" w:evenHBand="0" w:firstRowFirstColumn="0" w:firstRowLastColumn="0" w:lastRowFirstColumn="0" w:lastRowLastColumn="0"/>
            </w:pPr>
            <w:r>
              <w:t>$15,000</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56EC4" w:rsidP="00A55600">
            <w:pPr>
              <w:spacing w:before="40" w:after="40" w:line="240" w:lineRule="auto"/>
              <w:rPr>
                <w:rFonts w:eastAsia="MS Mincho" w:cs="Times New Roman"/>
                <w:szCs w:val="22"/>
                <w:lang w:val="en-US"/>
              </w:rPr>
            </w:pPr>
            <w:r w:rsidRPr="0079002D">
              <w:rPr>
                <w:b w:val="0"/>
                <w:lang w:val="en-US"/>
              </w:rPr>
              <w:t>Capital - Buildings/Grounds &lt; 12 months</w:t>
            </w:r>
          </w:p>
        </w:tc>
        <w:tc>
          <w:tcPr>
            <w:tcW w:w="1299" w:type="pct"/>
            <w:tcBorders>
              <w:top w:val="nil"/>
              <w:left w:val="single" w:sz="4" w:space="0" w:color="FFFFFF"/>
              <w:bottom w:val="nil"/>
            </w:tcBorders>
            <w:shd w:val="clear" w:color="auto" w:fill="D9D9D9"/>
            <w:noWrap/>
            <w:vAlign w:val="center"/>
          </w:tcPr>
          <w:p w:rsidR="00A55600" w:rsidRDefault="00F56EC4" w:rsidP="00A55600">
            <w:pPr>
              <w:jc w:val="right"/>
              <w:cnfStyle w:val="000000100000" w:firstRow="0" w:lastRow="0" w:firstColumn="0" w:lastColumn="0" w:oddVBand="0" w:evenVBand="0" w:oddHBand="1" w:evenHBand="0" w:firstRowFirstColumn="0" w:firstRowLastColumn="0" w:lastRowFirstColumn="0" w:lastRowLastColumn="0"/>
            </w:pPr>
            <w:r>
              <w:t>$190,500</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F56EC4" w:rsidP="00A55600">
            <w:pPr>
              <w:spacing w:before="40" w:after="40" w:line="240" w:lineRule="auto"/>
              <w:rPr>
                <w:rFonts w:eastAsia="MS Mincho" w:cs="Times New Roman"/>
                <w:szCs w:val="22"/>
                <w:lang w:val="en-US"/>
              </w:rPr>
            </w:pPr>
            <w:r w:rsidRPr="0079002D">
              <w:rPr>
                <w:b w:val="0"/>
                <w:lang w:val="en-US"/>
              </w:rPr>
              <w:t>Maintenance - Buildings/Grounds &lt; 12 months</w:t>
            </w:r>
          </w:p>
        </w:tc>
        <w:tc>
          <w:tcPr>
            <w:tcW w:w="1299" w:type="pct"/>
            <w:tcBorders>
              <w:top w:val="nil"/>
              <w:left w:val="single" w:sz="4" w:space="0" w:color="FFFFFF"/>
              <w:bottom w:val="nil"/>
            </w:tcBorders>
            <w:noWrap/>
            <w:vAlign w:val="center"/>
          </w:tcPr>
          <w:p w:rsidR="00A55600" w:rsidRDefault="00F56EC4" w:rsidP="00A55600">
            <w:pPr>
              <w:jc w:val="right"/>
              <w:cnfStyle w:val="000000000000" w:firstRow="0" w:lastRow="0" w:firstColumn="0" w:lastColumn="0" w:oddVBand="0" w:evenVBand="0" w:oddHBand="0" w:evenHBand="0" w:firstRowFirstColumn="0" w:firstRowLastColumn="0" w:lastRowFirstColumn="0" w:lastRowLastColumn="0"/>
            </w:pPr>
            <w:r>
              <w:t>$8,800</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56EC4" w:rsidP="00A55600">
            <w:pPr>
              <w:spacing w:before="40" w:after="40" w:line="240" w:lineRule="auto"/>
              <w:rPr>
                <w:rFonts w:eastAsia="MS Mincho" w:cs="Times New Roman"/>
                <w:szCs w:val="22"/>
                <w:lang w:val="en-US"/>
              </w:rPr>
            </w:pPr>
            <w:r w:rsidRPr="0079002D">
              <w:rPr>
                <w:b w:val="0"/>
                <w:lang w:val="en-US"/>
              </w:rPr>
              <w:t>Asset/Equipment Replacement &gt; 12 months</w:t>
            </w:r>
          </w:p>
        </w:tc>
        <w:tc>
          <w:tcPr>
            <w:tcW w:w="1299" w:type="pct"/>
            <w:tcBorders>
              <w:top w:val="nil"/>
              <w:left w:val="single" w:sz="4" w:space="0" w:color="FFFFFF"/>
              <w:bottom w:val="nil"/>
            </w:tcBorders>
            <w:shd w:val="clear" w:color="auto" w:fill="D9D9D9"/>
            <w:noWrap/>
            <w:vAlign w:val="center"/>
          </w:tcPr>
          <w:p w:rsidR="00A55600" w:rsidRDefault="00F56EC4"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A55600" w:rsidRDefault="00F56EC4" w:rsidP="00A55600">
            <w:pPr>
              <w:spacing w:before="40" w:after="40" w:line="240" w:lineRule="auto"/>
              <w:rPr>
                <w:rFonts w:eastAsia="MS Mincho" w:cs="Times New Roman"/>
                <w:szCs w:val="22"/>
                <w:lang w:val="en-US"/>
              </w:rPr>
            </w:pPr>
            <w:r w:rsidRPr="0079002D">
              <w:rPr>
                <w:b w:val="0"/>
                <w:lang w:val="en-US"/>
              </w:rPr>
              <w:t>Capital - Buildings/Grounds &gt; 12 months</w:t>
            </w:r>
          </w:p>
        </w:tc>
        <w:tc>
          <w:tcPr>
            <w:tcW w:w="1299" w:type="pct"/>
            <w:tcBorders>
              <w:top w:val="nil"/>
              <w:left w:val="single" w:sz="4" w:space="0" w:color="FFFFFF"/>
              <w:bottom w:val="nil"/>
            </w:tcBorders>
            <w:shd w:val="clear" w:color="auto" w:fill="auto"/>
            <w:noWrap/>
            <w:vAlign w:val="center"/>
          </w:tcPr>
          <w:p w:rsidR="00A55600" w:rsidRDefault="00F56EC4"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D40B4D" w:rsidTr="00D40B4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56EC4" w:rsidP="00A55600">
            <w:pPr>
              <w:spacing w:before="40" w:after="40" w:line="240" w:lineRule="auto"/>
              <w:rPr>
                <w:rFonts w:eastAsia="MS Mincho" w:cs="Times New Roman"/>
                <w:szCs w:val="22"/>
                <w:lang w:val="en-US"/>
              </w:rPr>
            </w:pPr>
            <w:r w:rsidRPr="0079002D">
              <w:rPr>
                <w:b w:val="0"/>
                <w:lang w:val="en-US"/>
              </w:rPr>
              <w:t>Maintenance - Buildings/Grounds &gt; 12 months</w:t>
            </w:r>
          </w:p>
        </w:tc>
        <w:tc>
          <w:tcPr>
            <w:tcW w:w="1299" w:type="pct"/>
            <w:tcBorders>
              <w:top w:val="nil"/>
              <w:left w:val="single" w:sz="4" w:space="0" w:color="FFFFFF"/>
              <w:bottom w:val="nil"/>
            </w:tcBorders>
            <w:shd w:val="clear" w:color="auto" w:fill="D9D9D9"/>
            <w:noWrap/>
            <w:vAlign w:val="center"/>
          </w:tcPr>
          <w:p w:rsidR="00A55600" w:rsidRDefault="00F56EC4"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D40B4D" w:rsidTr="00D40B4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2" w:space="0" w:color="106CB5"/>
              <w:bottom w:val="single" w:sz="2" w:space="0" w:color="106CB5"/>
            </w:tcBorders>
            <w:noWrap/>
            <w:vAlign w:val="center"/>
            <w:hideMark/>
          </w:tcPr>
          <w:p w:rsidR="002A03C0" w:rsidRDefault="00F56EC4">
            <w:pPr>
              <w:spacing w:before="40" w:after="40" w:line="240" w:lineRule="auto"/>
              <w:rPr>
                <w:rFonts w:eastAsia="MS Mincho" w:cs="Times New Roman"/>
                <w:szCs w:val="22"/>
                <w:lang w:val="en-US"/>
              </w:rPr>
            </w:pPr>
            <w:r>
              <w:rPr>
                <w:rFonts w:eastAsia="MS Mincho" w:cs="Times New Roman"/>
                <w:bCs w:val="0"/>
                <w:szCs w:val="22"/>
                <w:lang w:val="en-US"/>
              </w:rPr>
              <w:t>Total Financial Commitments</w:t>
            </w:r>
          </w:p>
        </w:tc>
        <w:tc>
          <w:tcPr>
            <w:tcW w:w="1299" w:type="pct"/>
            <w:tcBorders>
              <w:top w:val="single" w:sz="2" w:space="0" w:color="106CB5"/>
              <w:bottom w:val="single" w:sz="2" w:space="0" w:color="106CB5"/>
            </w:tcBorders>
            <w:noWrap/>
            <w:vAlign w:val="center"/>
          </w:tcPr>
          <w:p w:rsidR="002A03C0" w:rsidRDefault="00F56EC4">
            <w:pPr>
              <w:jc w:val="right"/>
              <w:cnfStyle w:val="000000000000" w:firstRow="0" w:lastRow="0" w:firstColumn="0" w:lastColumn="0" w:oddVBand="0" w:evenVBand="0" w:oddHBand="0" w:evenHBand="0" w:firstRowFirstColumn="0" w:firstRowLastColumn="0" w:lastRowFirstColumn="0" w:lastRowLastColumn="0"/>
            </w:pPr>
            <w:r>
              <w:t>$505,051</w:t>
            </w:r>
          </w:p>
        </w:tc>
      </w:tr>
    </w:tbl>
    <w:p w:rsidR="002A03C0" w:rsidRDefault="00F34A83">
      <w:pPr>
        <w:rPr>
          <w:rFonts w:eastAsia="MS Mincho"/>
        </w:rPr>
      </w:pPr>
    </w:p>
    <w:p w:rsidR="002A03C0" w:rsidRDefault="00F34A83">
      <w:pPr>
        <w:rPr>
          <w:rFonts w:eastAsia="MS Mincho"/>
        </w:rPr>
      </w:pPr>
    </w:p>
    <w:p w:rsidR="002A03C0" w:rsidRDefault="00F56EC4">
      <w:pPr>
        <w:numPr>
          <w:ilvl w:val="0"/>
          <w:numId w:val="28"/>
        </w:numPr>
        <w:spacing w:after="0" w:line="240" w:lineRule="auto"/>
        <w:contextualSpacing/>
        <w:rPr>
          <w:rFonts w:eastAsia="MS Mincho"/>
        </w:rPr>
      </w:pPr>
      <w:r>
        <w:rPr>
          <w:rFonts w:eastAsia="MS Mincho"/>
        </w:rPr>
        <w:t>The equity funding reported above is a subset of the overall revenue reported by the school.</w:t>
      </w:r>
    </w:p>
    <w:p w:rsidR="002A03C0" w:rsidRDefault="00F56EC4">
      <w:pPr>
        <w:numPr>
          <w:ilvl w:val="0"/>
          <w:numId w:val="28"/>
        </w:numPr>
        <w:spacing w:after="0" w:line="240" w:lineRule="auto"/>
        <w:rPr>
          <w:rFonts w:eastAsia="MS Mincho"/>
        </w:rPr>
      </w:pPr>
      <w:r>
        <w:rPr>
          <w:rFonts w:eastAsia="MS Mincho"/>
        </w:rPr>
        <w:t>Student Resource Package Expenditure figures are as of 04 Mar 2019 and are subject to change during the reconciliation process.</w:t>
      </w:r>
    </w:p>
    <w:p w:rsidR="002A03C0" w:rsidRDefault="00F56EC4">
      <w:pPr>
        <w:numPr>
          <w:ilvl w:val="0"/>
          <w:numId w:val="28"/>
        </w:numPr>
        <w:spacing w:after="0" w:line="240" w:lineRule="auto"/>
        <w:rPr>
          <w:rFonts w:eastAsia="MS Mincho"/>
        </w:rPr>
      </w:pPr>
      <w:r>
        <w:rPr>
          <w:rFonts w:eastAsia="MS Mincho"/>
        </w:rPr>
        <w:t xml:space="preserve">Misc Expenses may include bank charges, health and personal development, administration charges, camp/excursion costs and taxation charges. </w:t>
      </w:r>
    </w:p>
    <w:p w:rsidR="002A03C0" w:rsidRDefault="00F56EC4">
      <w:pPr>
        <w:numPr>
          <w:ilvl w:val="0"/>
          <w:numId w:val="28"/>
        </w:numPr>
        <w:spacing w:line="240" w:lineRule="auto"/>
        <w:ind w:left="357" w:hanging="357"/>
        <w:rPr>
          <w:rFonts w:eastAsia="MS Mincho"/>
        </w:rPr>
      </w:pPr>
      <w:r>
        <w:rPr>
          <w:rFonts w:eastAsia="MS Mincho"/>
        </w:rPr>
        <w:t>Salaries and Allowances refers to school-level payroll.</w:t>
      </w:r>
    </w:p>
    <w:p w:rsidR="002A03C0" w:rsidRDefault="00F56EC4">
      <w:pPr>
        <w:rPr>
          <w:rFonts w:eastAsia="MS Mincho"/>
          <w:i/>
        </w:rPr>
      </w:pPr>
      <w:r>
        <w:rPr>
          <w:rFonts w:eastAsia="MS Mincho"/>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p w:rsidR="002A03C0" w:rsidRDefault="00F56EC4">
      <w:pPr>
        <w:pStyle w:val="ESHeading1"/>
        <w:rPr>
          <w:b w:val="0"/>
          <w:color w:val="auto"/>
          <w:sz w:val="18"/>
          <w:szCs w:val="18"/>
        </w:rPr>
      </w:pPr>
      <w:r>
        <w:rPr>
          <w:b w:val="0"/>
        </w:rPr>
        <w:br w:type="page"/>
      </w:r>
    </w:p>
    <w:p w:rsidR="002A03C0" w:rsidRDefault="00F56EC4">
      <w:pPr>
        <w:spacing w:line="340" w:lineRule="atLeast"/>
        <w:jc w:val="center"/>
        <w:outlineLvl w:val="0"/>
        <w:rPr>
          <w:rFonts w:eastAsia="MS Gothic" w:cs="Times New Roman"/>
          <w:b/>
          <w:spacing w:val="5"/>
          <w:kern w:val="28"/>
          <w:sz w:val="44"/>
          <w:szCs w:val="52"/>
        </w:rPr>
      </w:pPr>
      <w:r>
        <w:rPr>
          <w:rFonts w:eastAsia="MS Gothic" w:cs="Times New Roman"/>
          <w:b/>
          <w:spacing w:val="5"/>
          <w:kern w:val="28"/>
          <w:sz w:val="44"/>
          <w:szCs w:val="52"/>
        </w:rPr>
        <w:lastRenderedPageBreak/>
        <w:t>How to read the Annual Report</w:t>
      </w:r>
    </w:p>
    <w:p w:rsidR="002A03C0" w:rsidRDefault="00F56EC4">
      <w:pPr>
        <w:spacing w:before="240"/>
        <w:rPr>
          <w:rFonts w:eastAsia="MS Gothic" w:cs="Times New Roman"/>
          <w:b/>
          <w:bCs/>
          <w:caps/>
          <w:color w:val="00008B"/>
          <w:sz w:val="20"/>
          <w:szCs w:val="20"/>
          <w:u w:val="single"/>
        </w:rPr>
      </w:pPr>
      <w:r>
        <w:rPr>
          <w:rFonts w:eastAsia="MS Gothic" w:cs="Times New Roman"/>
          <w:b/>
          <w:bCs/>
          <w:caps/>
          <w:color w:val="00008B"/>
          <w:sz w:val="20"/>
          <w:szCs w:val="20"/>
          <w:u w:val="single"/>
        </w:rPr>
        <w:t>What does the About Our School section refer to?</w:t>
      </w:r>
    </w:p>
    <w:p w:rsidR="00EF1DDC" w:rsidRDefault="00F56EC4" w:rsidP="00EF1DDC">
      <w:pPr>
        <w:spacing w:after="0" w:line="240" w:lineRule="auto"/>
        <w:rPr>
          <w:rFonts w:eastAsia="MS Mincho"/>
        </w:rPr>
      </w:pPr>
      <w:r>
        <w:rPr>
          <w:rFonts w:eastAsia="MS Mincho"/>
        </w:rPr>
        <w:t>The About Our School page provides a brief background on the school, an outline of the school’s performance over the year and</w:t>
      </w:r>
    </w:p>
    <w:p w:rsidR="002A03C0" w:rsidRDefault="00F56EC4">
      <w:pPr>
        <w:rPr>
          <w:rFonts w:eastAsia="MS Mincho"/>
        </w:rPr>
      </w:pPr>
      <w:r>
        <w:rPr>
          <w:rFonts w:eastAsia="MS Mincho"/>
        </w:rPr>
        <w:t>plans for the future.</w:t>
      </w:r>
    </w:p>
    <w:p w:rsidR="002A03C0" w:rsidRDefault="00F56EC4">
      <w:pPr>
        <w:rPr>
          <w:rFonts w:eastAsia="MS Mincho"/>
        </w:rPr>
      </w:pPr>
      <w:r>
        <w:rPr>
          <w:rFonts w:eastAsia="MS Mincho"/>
        </w:rPr>
        <w:t>The ‘School Context’ describes the school’s vision, values and purpose. Details include the school’s geographic location, size and structure, social characteristics, enrolment characteristics and special programs.</w:t>
      </w:r>
    </w:p>
    <w:p w:rsidR="002A03C0" w:rsidRDefault="00F56EC4">
      <w:pPr>
        <w:rPr>
          <w:rFonts w:eastAsia="MS Mincho"/>
        </w:rPr>
      </w:pPr>
      <w:r>
        <w:rPr>
          <w:rFonts w:eastAsia="MS Mincho"/>
        </w:rPr>
        <w:t xml:space="preserve">The ‘Framework for Improving Student Outcomes (FISO)’ section includes the improvement initiatives the school has selected and the progress they have made towards achieving them.  </w:t>
      </w:r>
    </w:p>
    <w:p w:rsidR="002A03C0" w:rsidRDefault="00F56EC4">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the </w:t>
      </w:r>
      <w:r>
        <w:rPr>
          <w:rFonts w:eastAsia="MS Gothic" w:cs="Times New Roman"/>
          <w:b/>
          <w:bCs/>
          <w:i/>
          <w:caps/>
          <w:color w:val="00008B"/>
          <w:sz w:val="20"/>
          <w:szCs w:val="20"/>
          <w:u w:val="single"/>
        </w:rPr>
        <w:t>Performance Summary</w:t>
      </w:r>
      <w:r>
        <w:rPr>
          <w:rFonts w:eastAsia="MS Gothic" w:cs="Times New Roman"/>
          <w:b/>
          <w:bCs/>
          <w:caps/>
          <w:color w:val="00008B"/>
          <w:sz w:val="20"/>
          <w:szCs w:val="20"/>
          <w:u w:val="single"/>
        </w:rPr>
        <w:t xml:space="preserve"> section of this report refer to?</w:t>
      </w:r>
    </w:p>
    <w:p w:rsidR="002A03C0" w:rsidRDefault="00F56EC4">
      <w:pPr>
        <w:spacing w:after="0" w:line="276" w:lineRule="auto"/>
        <w:rPr>
          <w:rFonts w:eastAsia="Arial" w:cs="Times New Roman"/>
          <w:color w:val="000000"/>
          <w:szCs w:val="20"/>
        </w:rPr>
      </w:pPr>
      <w:r>
        <w:rPr>
          <w:rFonts w:eastAsia="Arial" w:cs="Times New Roman"/>
          <w:color w:val="000000"/>
          <w:szCs w:val="20"/>
        </w:rPr>
        <w:t>The Performance Summary reports on data in three key areas:</w:t>
      </w:r>
    </w:p>
    <w:p w:rsidR="002A03C0" w:rsidRDefault="00F56EC4">
      <w:pPr>
        <w:spacing w:before="120" w:after="0" w:line="276" w:lineRule="auto"/>
        <w:rPr>
          <w:rFonts w:eastAsia="Arial" w:cs="Times New Roman"/>
          <w:b/>
          <w:color w:val="000000"/>
          <w:szCs w:val="20"/>
        </w:rPr>
      </w:pPr>
      <w:r>
        <w:rPr>
          <w:rFonts w:eastAsia="Arial" w:cs="Times New Roman"/>
          <w:b/>
          <w:color w:val="000000"/>
          <w:szCs w:val="20"/>
        </w:rPr>
        <w:t>Achievement</w:t>
      </w:r>
    </w:p>
    <w:p w:rsidR="002A03C0" w:rsidRDefault="00F56EC4">
      <w:pPr>
        <w:numPr>
          <w:ilvl w:val="0"/>
          <w:numId w:val="29"/>
        </w:numPr>
        <w:spacing w:after="0" w:line="276" w:lineRule="auto"/>
        <w:rPr>
          <w:rFonts w:eastAsia="Arial" w:cs="Times New Roman"/>
          <w:color w:val="000000"/>
          <w:szCs w:val="20"/>
        </w:rPr>
      </w:pPr>
      <w:r>
        <w:rPr>
          <w:rFonts w:eastAsia="Arial" w:cs="Times New Roman"/>
          <w:color w:val="000000"/>
          <w:szCs w:val="20"/>
        </w:rPr>
        <w:t>student achievements in:</w:t>
      </w:r>
    </w:p>
    <w:p w:rsidR="002A03C0" w:rsidRDefault="00F56EC4">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English and Mathematics for National Literacy and Numeracy tests (NAPLAN)</w:t>
      </w:r>
    </w:p>
    <w:p w:rsidR="002A03C0" w:rsidRDefault="00F56EC4">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English and Mathematics for Teacher Judgements against the curriculum</w:t>
      </w:r>
    </w:p>
    <w:p w:rsidR="002A03C0" w:rsidRDefault="00F56EC4">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All subjects for Victorian Certificate of Education (VCE) examinations (secondary schools).</w:t>
      </w:r>
    </w:p>
    <w:p w:rsidR="002A03C0" w:rsidRDefault="00F56EC4">
      <w:pPr>
        <w:spacing w:before="120" w:after="0" w:line="276" w:lineRule="auto"/>
        <w:rPr>
          <w:rFonts w:eastAsia="Arial" w:cs="Times New Roman"/>
          <w:b/>
          <w:color w:val="000000"/>
          <w:szCs w:val="20"/>
        </w:rPr>
      </w:pPr>
      <w:r>
        <w:rPr>
          <w:rFonts w:eastAsia="Arial" w:cs="Times New Roman"/>
          <w:b/>
          <w:color w:val="000000"/>
          <w:szCs w:val="20"/>
        </w:rPr>
        <w:t>Engagement</w:t>
      </w:r>
    </w:p>
    <w:p w:rsidR="002A03C0" w:rsidRDefault="00F56EC4">
      <w:pPr>
        <w:numPr>
          <w:ilvl w:val="0"/>
          <w:numId w:val="29"/>
        </w:numPr>
        <w:spacing w:after="0" w:line="276" w:lineRule="auto"/>
        <w:rPr>
          <w:rFonts w:eastAsia="Arial" w:cs="Times New Roman"/>
          <w:color w:val="000000"/>
          <w:szCs w:val="20"/>
        </w:rPr>
      </w:pPr>
      <w:r>
        <w:rPr>
          <w:rFonts w:eastAsia="Arial" w:cs="Times New Roman"/>
          <w:color w:val="000000"/>
          <w:szCs w:val="20"/>
        </w:rPr>
        <w:t>student attendance and engagement at school, including:</w:t>
      </w:r>
    </w:p>
    <w:p w:rsidR="002A03C0" w:rsidRDefault="00F56EC4">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how many students leaving school go on to further studies or full-time work (secondary, P-12 and specialist schools)</w:t>
      </w:r>
    </w:p>
    <w:p w:rsidR="002A03C0" w:rsidRDefault="00F56EC4">
      <w:pPr>
        <w:spacing w:before="120" w:after="0" w:line="276" w:lineRule="auto"/>
        <w:rPr>
          <w:rFonts w:eastAsia="Arial" w:cs="Times New Roman"/>
          <w:b/>
          <w:color w:val="000000"/>
          <w:szCs w:val="20"/>
        </w:rPr>
      </w:pPr>
      <w:r>
        <w:rPr>
          <w:rFonts w:eastAsia="Arial" w:cs="Times New Roman"/>
          <w:b/>
          <w:color w:val="000000"/>
          <w:szCs w:val="20"/>
        </w:rPr>
        <w:t>Wellbeing</w:t>
      </w:r>
    </w:p>
    <w:p w:rsidR="002A03C0" w:rsidRDefault="00F56EC4">
      <w:pPr>
        <w:numPr>
          <w:ilvl w:val="0"/>
          <w:numId w:val="31"/>
        </w:numPr>
        <w:spacing w:after="0" w:line="276" w:lineRule="auto"/>
        <w:rPr>
          <w:rFonts w:eastAsia="Arial" w:cs="Times New Roman"/>
          <w:color w:val="000000"/>
          <w:szCs w:val="20"/>
        </w:rPr>
      </w:pPr>
      <w:r>
        <w:rPr>
          <w:rFonts w:eastAsia="Arial" w:cs="Times New Roman"/>
          <w:color w:val="000000"/>
          <w:szCs w:val="20"/>
        </w:rPr>
        <w:t>Attitudes to School Survey (ATOSS) factors:</w:t>
      </w:r>
    </w:p>
    <w:p w:rsidR="002A03C0" w:rsidRDefault="00F56EC4">
      <w:pPr>
        <w:numPr>
          <w:ilvl w:val="1"/>
          <w:numId w:val="32"/>
        </w:numPr>
        <w:spacing w:after="0" w:line="276" w:lineRule="auto"/>
        <w:rPr>
          <w:rFonts w:eastAsia="Arial" w:cs="Times New Roman"/>
          <w:color w:val="000000"/>
          <w:szCs w:val="20"/>
        </w:rPr>
      </w:pPr>
      <w:r>
        <w:rPr>
          <w:rFonts w:eastAsia="Arial" w:cs="Times New Roman"/>
          <w:color w:val="000000"/>
          <w:szCs w:val="20"/>
        </w:rPr>
        <w:t>Sense of Connectedness</w:t>
      </w:r>
    </w:p>
    <w:p w:rsidR="002A03C0" w:rsidRDefault="00F56EC4">
      <w:pPr>
        <w:numPr>
          <w:ilvl w:val="1"/>
          <w:numId w:val="32"/>
        </w:numPr>
        <w:spacing w:after="0" w:line="276" w:lineRule="auto"/>
        <w:rPr>
          <w:rFonts w:eastAsia="Arial" w:cs="Times New Roman"/>
          <w:color w:val="000000"/>
          <w:szCs w:val="20"/>
        </w:rPr>
      </w:pPr>
      <w:r>
        <w:rPr>
          <w:rFonts w:eastAsia="Arial" w:cs="Times New Roman"/>
          <w:color w:val="000000"/>
          <w:szCs w:val="20"/>
        </w:rPr>
        <w:t>Management of Bullying</w:t>
      </w:r>
    </w:p>
    <w:p w:rsidR="002A03C0" w:rsidRDefault="00F56EC4">
      <w:pPr>
        <w:rPr>
          <w:rFonts w:eastAsia="MS Mincho"/>
        </w:rPr>
      </w:pPr>
      <w:r>
        <w:rPr>
          <w:rFonts w:eastAsia="MS Mincho"/>
        </w:rPr>
        <w:t>Results are displayed for the latest year, as well as the average of the last four years (where available).</w:t>
      </w:r>
    </w:p>
    <w:p w:rsidR="002A03C0" w:rsidRDefault="00F56EC4">
      <w:pPr>
        <w:rPr>
          <w:rFonts w:eastAsia="MS Gothic" w:cs="Times New Roman"/>
          <w:b/>
          <w:bCs/>
          <w:caps/>
          <w:color w:val="00008B"/>
          <w:sz w:val="20"/>
          <w:szCs w:val="20"/>
          <w:u w:val="single"/>
        </w:rPr>
      </w:pPr>
      <w:r>
        <w:rPr>
          <w:rFonts w:eastAsia="MS Gothic" w:cs="Times New Roman"/>
          <w:b/>
          <w:bCs/>
          <w:caps/>
          <w:color w:val="00008B"/>
          <w:sz w:val="20"/>
          <w:szCs w:val="20"/>
          <w:u w:val="single"/>
        </w:rPr>
        <w:t>What does School Comparison refer to?</w:t>
      </w:r>
    </w:p>
    <w:p w:rsidR="002A03C0" w:rsidRDefault="00F56EC4">
      <w:pPr>
        <w:rPr>
          <w:rFonts w:eastAsia="MS Mincho"/>
        </w:rPr>
      </w:pPr>
      <w:r>
        <w:rPr>
          <w:rFonts w:eastAsia="Arial"/>
          <w:color w:val="000000"/>
        </w:rPr>
        <w:t>The</w:t>
      </w:r>
      <w:r>
        <w:rPr>
          <w:rFonts w:eastAsia="Arial"/>
          <w:i/>
          <w:color w:val="000000"/>
        </w:rPr>
        <w:t xml:space="preserve"> </w:t>
      </w:r>
      <w:r>
        <w:rPr>
          <w:rFonts w:eastAsia="Arial"/>
          <w:color w:val="000000"/>
        </w:rPr>
        <w:t>School Comparison is a way of comparing this school’s performance to similar schools in Victoria.</w:t>
      </w:r>
    </w:p>
    <w:p w:rsidR="002A03C0" w:rsidRDefault="00F56EC4">
      <w:pPr>
        <w:rPr>
          <w:rFonts w:eastAsia="Arial"/>
          <w:color w:val="000000"/>
        </w:rPr>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 </w:t>
      </w:r>
    </w:p>
    <w:p w:rsidR="002A03C0" w:rsidRDefault="00F56EC4">
      <w:pPr>
        <w:rPr>
          <w:rFonts w:eastAsia="MS Mincho"/>
        </w:rPr>
      </w:pPr>
      <w:r>
        <w:rPr>
          <w:rFonts w:eastAsia="Arial"/>
          <w:color w:val="000000"/>
        </w:rPr>
        <w:t>The School Comparison</w:t>
      </w:r>
      <w:r>
        <w:rPr>
          <w:rFonts w:eastAsia="Arial"/>
          <w:i/>
          <w:color w:val="00000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rPr>
        <w:t xml:space="preserve"> to other schools with alike student </w:t>
      </w:r>
      <w:r>
        <w:rPr>
          <w:rFonts w:eastAsia="MS Mincho"/>
        </w:rPr>
        <w:t xml:space="preserve">backgrounds and characteristics. Some schools are doing exceptionally well and have </w:t>
      </w:r>
      <w:r>
        <w:rPr>
          <w:rFonts w:eastAsia="MS Mincho"/>
          <w:b/>
        </w:rPr>
        <w:t>‘Higher’</w:t>
      </w:r>
      <w:r>
        <w:rPr>
          <w:rFonts w:eastAsia="MS Mincho"/>
        </w:rPr>
        <w:t xml:space="preserve"> performance.  Some schools have </w:t>
      </w:r>
      <w:r>
        <w:rPr>
          <w:rFonts w:eastAsia="MS Mincho"/>
          <w:b/>
        </w:rPr>
        <w:t>‘Lower’</w:t>
      </w:r>
      <w:r>
        <w:rPr>
          <w:rFonts w:eastAsia="MS Mincho"/>
        </w:rPr>
        <w:t xml:space="preserve"> performance than expected and receive targeted support to ensure that there is improvement.</w:t>
      </w:r>
    </w:p>
    <w:p w:rsidR="002A03C0" w:rsidRDefault="00F56EC4">
      <w:pPr>
        <w:rPr>
          <w:rFonts w:eastAsia="MS Gothic" w:cs="Times New Roman"/>
          <w:b/>
          <w:bCs/>
          <w:caps/>
          <w:color w:val="00008B"/>
          <w:sz w:val="20"/>
          <w:szCs w:val="20"/>
          <w:u w:val="single"/>
        </w:rPr>
      </w:pPr>
      <w:r>
        <w:rPr>
          <w:rFonts w:eastAsia="MS Gothic" w:cs="Times New Roman"/>
          <w:b/>
          <w:bCs/>
          <w:caps/>
          <w:color w:val="00008B"/>
          <w:sz w:val="20"/>
          <w:szCs w:val="20"/>
          <w:u w:val="single"/>
        </w:rPr>
        <w:t>What does ‘Data not available’ or ‘np’ mean?</w:t>
      </w:r>
    </w:p>
    <w:p w:rsidR="002A03C0" w:rsidRDefault="00F56EC4">
      <w:pPr>
        <w:spacing w:line="240" w:lineRule="auto"/>
        <w:rPr>
          <w:rFonts w:eastAsia="Arial" w:cs="Times New Roman"/>
          <w:color w:val="000000"/>
          <w:szCs w:val="20"/>
        </w:rPr>
      </w:pPr>
      <w:r>
        <w:rPr>
          <w:rFonts w:eastAsia="Arial" w:cs="Times New Roman"/>
          <w:color w:val="000000"/>
          <w:szCs w:val="20"/>
        </w:rPr>
        <w:t xml:space="preserve">Some schools have too few students enrolled to provide data. There may be no students enrolled in some year levels so school comparisons are not possible. </w:t>
      </w:r>
    </w:p>
    <w:p w:rsidR="002A03C0" w:rsidRDefault="00F56EC4">
      <w:pPr>
        <w:spacing w:line="240" w:lineRule="auto"/>
        <w:rPr>
          <w:rFonts w:eastAsia="Arial" w:cs="Times New Roman"/>
          <w:color w:val="000000"/>
          <w:szCs w:val="20"/>
        </w:rPr>
      </w:pPr>
      <w:r>
        <w:rPr>
          <w:rFonts w:eastAsia="Arial" w:cs="Times New Roman"/>
          <w:color w:val="000000"/>
          <w:szCs w:val="20"/>
        </w:rPr>
        <w:t xml:space="preserve">New schools have only the latest year of data and no comparative data from previous years. </w:t>
      </w:r>
    </w:p>
    <w:p w:rsidR="002A03C0" w:rsidRDefault="00F56EC4">
      <w:pPr>
        <w:spacing w:line="240" w:lineRule="auto"/>
        <w:rPr>
          <w:rFonts w:eastAsia="MS Mincho"/>
        </w:rPr>
      </w:pPr>
      <w:r>
        <w:rPr>
          <w:rFonts w:eastAsia="Arial" w:cs="Times New Roman"/>
          <w:color w:val="000000"/>
          <w:szCs w:val="20"/>
        </w:rPr>
        <w:t xml:space="preserve">The Department also recognises unique circumstances in Specialist, Select Entry, English Language and Community Schools where </w:t>
      </w:r>
      <w:r>
        <w:rPr>
          <w:rFonts w:eastAsia="MS Mincho"/>
        </w:rPr>
        <w:t>school-to-school comparisons are not appropriate.</w:t>
      </w:r>
    </w:p>
    <w:p w:rsidR="002A03C0" w:rsidRDefault="00F56EC4">
      <w:pPr>
        <w:rPr>
          <w:rFonts w:eastAsia="MS Gothic" w:cs="Times New Roman"/>
          <w:b/>
          <w:bCs/>
          <w:caps/>
          <w:color w:val="00008B"/>
          <w:sz w:val="20"/>
          <w:szCs w:val="20"/>
          <w:u w:val="single"/>
        </w:rPr>
      </w:pPr>
      <w:r>
        <w:rPr>
          <w:rFonts w:eastAsia="MS Gothic" w:cs="Times New Roman"/>
          <w:b/>
          <w:bCs/>
          <w:caps/>
          <w:color w:val="00008B"/>
          <w:sz w:val="20"/>
          <w:szCs w:val="20"/>
          <w:u w:val="single"/>
        </w:rPr>
        <w:t>What is the Victorian Curriculum?</w:t>
      </w:r>
    </w:p>
    <w:p w:rsidR="002A03C0" w:rsidRDefault="00F56EC4">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development and active and informed citizenship. </w:t>
      </w:r>
    </w:p>
    <w:p w:rsidR="002A03C0" w:rsidRDefault="00F56EC4">
      <w:pPr>
        <w:spacing w:line="240" w:lineRule="auto"/>
        <w:rPr>
          <w:rFonts w:eastAsia="MS Mincho"/>
        </w:rPr>
      </w:pPr>
      <w:r>
        <w:rPr>
          <w:rFonts w:eastAsia="Arial"/>
          <w:color w:val="000000"/>
        </w:rPr>
        <w:t>The curriculum has been developed to ensure that school subjects and their achievement standards enable continuous learning for all students, including students with disabilities.</w:t>
      </w:r>
    </w:p>
    <w:p w:rsidR="002A03C0" w:rsidRDefault="00F56EC4">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2A03C0" w:rsidRDefault="00F56EC4">
      <w:pPr>
        <w:spacing w:line="240" w:lineRule="auto"/>
        <w:rPr>
          <w:rFonts w:eastAsia="Arial"/>
          <w:color w:val="000000"/>
        </w:rPr>
      </w:pPr>
      <w:r>
        <w:rPr>
          <w:rFonts w:eastAsia="Arial"/>
          <w:color w:val="000000"/>
        </w:rPr>
        <w:t>‘Levels A to D’ may be used for students with a disability or students who may have additional learning needs.</w:t>
      </w:r>
    </w:p>
    <w:p w:rsidR="002A03C0" w:rsidRDefault="00F56EC4">
      <w:pPr>
        <w:spacing w:line="240" w:lineRule="auto"/>
        <w:rPr>
          <w:i/>
        </w:rPr>
      </w:pPr>
      <w:r>
        <w:rPr>
          <w:rFonts w:eastAsia="Arial"/>
          <w:color w:val="000000"/>
        </w:rPr>
        <w:t>‘Levels A to D’ are not associated with any set age or year level that links chronological age to cognitive progress (i.e. there is no age expected standard of achievement for ‘Levels A to D’).</w:t>
      </w:r>
    </w:p>
    <w:sectPr w:rsidR="002A03C0">
      <w:headerReference w:type="default" r:id="rId27"/>
      <w:footerReference w:type="default" r:id="rId28"/>
      <w:headerReference w:type="first" r:id="rId29"/>
      <w:pgSz w:w="11900" w:h="16840"/>
      <w:pgMar w:top="1418" w:right="567" w:bottom="851" w:left="567" w:header="284" w:footer="46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C4" w:rsidRDefault="00F56EC4">
      <w:pPr>
        <w:spacing w:after="0" w:line="240" w:lineRule="auto"/>
      </w:pPr>
      <w:r>
        <w:separator/>
      </w:r>
    </w:p>
  </w:endnote>
  <w:endnote w:type="continuationSeparator" w:id="0">
    <w:p w:rsidR="00F56EC4" w:rsidRDefault="00F5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2E3" w:rsidRDefault="00F56EC4"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2E3" w:rsidRDefault="00F34A83"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2E3" w:rsidRPr="003E29B5" w:rsidRDefault="00F56EC4"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A95" w:rsidRDefault="00F34A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2E3" w:rsidRPr="007839E6" w:rsidRDefault="00F56EC4" w:rsidP="00362A9C">
    <w:pPr>
      <w:pStyle w:val="ESImageorGraphTitle"/>
      <w:rPr>
        <w:b w:val="0"/>
        <w:sz w:val="15"/>
        <w:szCs w:val="15"/>
      </w:rPr>
    </w:pPr>
    <w:r w:rsidRPr="007839E6">
      <w:rPr>
        <w:b w:val="0"/>
        <w:noProof/>
        <w:sz w:val="15"/>
        <w:szCs w:val="15"/>
      </w:rPr>
      <w:t>Rangeview Primary School (5431)</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RDefault="00F56EC4"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E03DA5">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928465"/>
      <w:docPartObj>
        <w:docPartGallery w:val="Page Numbers (Bottom of Page)"/>
        <w:docPartUnique/>
      </w:docPartObj>
    </w:sdtPr>
    <w:sdtEndPr>
      <w:rPr>
        <w:noProof/>
      </w:rPr>
    </w:sdtEndPr>
    <w:sdtContent>
      <w:p w:rsidR="002A03C0" w:rsidRDefault="00F56EC4">
        <w:pPr>
          <w:pStyle w:val="Footer"/>
          <w:jc w:val="right"/>
        </w:pPr>
        <w:r>
          <w:fldChar w:fldCharType="begin"/>
        </w:r>
        <w:r>
          <w:instrText xml:space="preserve"> PAGE   \* MERGEFORMAT </w:instrText>
        </w:r>
        <w:r>
          <w:fldChar w:fldCharType="separate"/>
        </w:r>
        <w:r w:rsidR="00E03DA5">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C4" w:rsidRDefault="00F56EC4">
      <w:pPr>
        <w:spacing w:after="0" w:line="240" w:lineRule="auto"/>
      </w:pPr>
      <w:r>
        <w:separator/>
      </w:r>
    </w:p>
  </w:footnote>
  <w:footnote w:type="continuationSeparator" w:id="0">
    <w:p w:rsidR="00F56EC4" w:rsidRDefault="00F56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2E3" w:rsidRDefault="00F56EC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F56EC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" filled="f" stroked="f">
              <o:lock v:ext="edit" shapetype="t"/>
              <v:textbox style="mso-fit-shape-to-text:t">
                <w:txbxContent>
                  <w:p w:rsidR="006932E3" w:rsidRDefault="00F56EC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2E3" w:rsidRDefault="00F56EC4">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rsidRDefault="00F34A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2E3" w:rsidRDefault="00F56EC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F56EC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rsidR="006932E3" w:rsidRDefault="00F56EC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2E3" w:rsidRDefault="00F56EC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F56EC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" filled="f" stroked="f">
              <o:lock v:ext="edit" shapetype="t"/>
              <v:textbox style="mso-fit-shape-to-text:t">
                <w:txbxContent>
                  <w:p w:rsidR="006932E3" w:rsidRDefault="00F56EC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2E3" w:rsidRPr="00FE3A95" w:rsidRDefault="00F56EC4" w:rsidP="00FE3A95">
    <w:pPr>
      <w:jc w:val="right"/>
      <w:rPr>
        <w:sz w:val="22"/>
        <w:szCs w:val="22"/>
      </w:rPr>
    </w:pPr>
    <w:r w:rsidRPr="00FE3A95">
      <w:rPr>
        <w:noProof/>
        <w:sz w:val="22"/>
        <w:szCs w:val="22"/>
      </w:rPr>
      <w:t>Rangeview Primary School (5431)</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2E3" w:rsidRDefault="00F56EC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F56EC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" filled="f" stroked="f">
              <o:lock v:ext="edit" shapetype="t"/>
              <v:textbox style="mso-fit-shape-to-text:t">
                <w:txbxContent>
                  <w:p w:rsidR="006932E3" w:rsidRDefault="00F56EC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C0" w:rsidRDefault="00F56EC4">
    <w:pPr>
      <w:pStyle w:val="Header"/>
      <w:spacing w:before="240"/>
    </w:pPr>
    <w:r>
      <w:rPr>
        <w:noProof/>
        <w:lang w:val="en-AU" w:eastAsia="en-AU"/>
      </w:rPr>
      <w:drawing>
        <wp:inline distT="0" distB="0" distL="0" distR="0">
          <wp:extent cx="1471910" cy="512445"/>
          <wp:effectExtent l="0" t="0" r="0" b="1905"/>
          <wp:docPr id="323822056"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Rangeview Primary School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C0" w:rsidRDefault="00F56EC4">
    <w:pPr>
      <w:pStyle w:val="Header"/>
      <w:ind w:left="-993"/>
    </w:pPr>
    <w:r>
      <w:ptab w:relativeTo="margin" w:alignment="left" w:leader="none"/>
    </w:r>
  </w:p>
  <w:p w:rsidR="002A03C0" w:rsidRDefault="00F34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58E5426">
      <w:start w:val="1"/>
      <w:numFmt w:val="bullet"/>
      <w:lvlText w:val=""/>
      <w:lvlJc w:val="left"/>
      <w:pPr>
        <w:ind w:left="720" w:hanging="360"/>
      </w:pPr>
      <w:rPr>
        <w:rFonts w:ascii="Symbol" w:hAnsi="Symbol" w:hint="default"/>
      </w:rPr>
    </w:lvl>
    <w:lvl w:ilvl="1" w:tplc="BA7476F8" w:tentative="1">
      <w:start w:val="1"/>
      <w:numFmt w:val="bullet"/>
      <w:lvlText w:val="o"/>
      <w:lvlJc w:val="left"/>
      <w:pPr>
        <w:ind w:left="1440" w:hanging="360"/>
      </w:pPr>
      <w:rPr>
        <w:rFonts w:ascii="Courier New" w:hAnsi="Courier New" w:cs="Courier New" w:hint="default"/>
      </w:rPr>
    </w:lvl>
    <w:lvl w:ilvl="2" w:tplc="69E84FAC" w:tentative="1">
      <w:start w:val="1"/>
      <w:numFmt w:val="bullet"/>
      <w:lvlText w:val=""/>
      <w:lvlJc w:val="left"/>
      <w:pPr>
        <w:ind w:left="2160" w:hanging="360"/>
      </w:pPr>
      <w:rPr>
        <w:rFonts w:ascii="Wingdings" w:hAnsi="Wingdings" w:hint="default"/>
      </w:rPr>
    </w:lvl>
    <w:lvl w:ilvl="3" w:tplc="0C3CD510" w:tentative="1">
      <w:start w:val="1"/>
      <w:numFmt w:val="bullet"/>
      <w:lvlText w:val=""/>
      <w:lvlJc w:val="left"/>
      <w:pPr>
        <w:ind w:left="2880" w:hanging="360"/>
      </w:pPr>
      <w:rPr>
        <w:rFonts w:ascii="Symbol" w:hAnsi="Symbol" w:hint="default"/>
      </w:rPr>
    </w:lvl>
    <w:lvl w:ilvl="4" w:tplc="3E64D75E" w:tentative="1">
      <w:start w:val="1"/>
      <w:numFmt w:val="bullet"/>
      <w:lvlText w:val="o"/>
      <w:lvlJc w:val="left"/>
      <w:pPr>
        <w:ind w:left="3600" w:hanging="360"/>
      </w:pPr>
      <w:rPr>
        <w:rFonts w:ascii="Courier New" w:hAnsi="Courier New" w:cs="Courier New" w:hint="default"/>
      </w:rPr>
    </w:lvl>
    <w:lvl w:ilvl="5" w:tplc="D868AD6E" w:tentative="1">
      <w:start w:val="1"/>
      <w:numFmt w:val="bullet"/>
      <w:lvlText w:val=""/>
      <w:lvlJc w:val="left"/>
      <w:pPr>
        <w:ind w:left="4320" w:hanging="360"/>
      </w:pPr>
      <w:rPr>
        <w:rFonts w:ascii="Wingdings" w:hAnsi="Wingdings" w:hint="default"/>
      </w:rPr>
    </w:lvl>
    <w:lvl w:ilvl="6" w:tplc="C83ADEFC" w:tentative="1">
      <w:start w:val="1"/>
      <w:numFmt w:val="bullet"/>
      <w:lvlText w:val=""/>
      <w:lvlJc w:val="left"/>
      <w:pPr>
        <w:ind w:left="5040" w:hanging="360"/>
      </w:pPr>
      <w:rPr>
        <w:rFonts w:ascii="Symbol" w:hAnsi="Symbol" w:hint="default"/>
      </w:rPr>
    </w:lvl>
    <w:lvl w:ilvl="7" w:tplc="12BABCE4" w:tentative="1">
      <w:start w:val="1"/>
      <w:numFmt w:val="bullet"/>
      <w:lvlText w:val="o"/>
      <w:lvlJc w:val="left"/>
      <w:pPr>
        <w:ind w:left="5760" w:hanging="360"/>
      </w:pPr>
      <w:rPr>
        <w:rFonts w:ascii="Courier New" w:hAnsi="Courier New" w:cs="Courier New" w:hint="default"/>
      </w:rPr>
    </w:lvl>
    <w:lvl w:ilvl="8" w:tplc="10422F9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36CC9008">
      <w:start w:val="1"/>
      <w:numFmt w:val="bullet"/>
      <w:lvlText w:val=""/>
      <w:lvlJc w:val="left"/>
      <w:pPr>
        <w:ind w:left="720" w:hanging="360"/>
      </w:pPr>
      <w:rPr>
        <w:rFonts w:ascii="Symbol" w:hAnsi="Symbol" w:hint="default"/>
      </w:rPr>
    </w:lvl>
    <w:lvl w:ilvl="1" w:tplc="F2D22332" w:tentative="1">
      <w:start w:val="1"/>
      <w:numFmt w:val="bullet"/>
      <w:lvlText w:val="o"/>
      <w:lvlJc w:val="left"/>
      <w:pPr>
        <w:ind w:left="1440" w:hanging="360"/>
      </w:pPr>
      <w:rPr>
        <w:rFonts w:ascii="Courier New" w:hAnsi="Courier New" w:cs="Courier New" w:hint="default"/>
      </w:rPr>
    </w:lvl>
    <w:lvl w:ilvl="2" w:tplc="919E02EE" w:tentative="1">
      <w:start w:val="1"/>
      <w:numFmt w:val="bullet"/>
      <w:lvlText w:val=""/>
      <w:lvlJc w:val="left"/>
      <w:pPr>
        <w:ind w:left="2160" w:hanging="360"/>
      </w:pPr>
      <w:rPr>
        <w:rFonts w:ascii="Wingdings" w:hAnsi="Wingdings" w:hint="default"/>
      </w:rPr>
    </w:lvl>
    <w:lvl w:ilvl="3" w:tplc="A45AAF72" w:tentative="1">
      <w:start w:val="1"/>
      <w:numFmt w:val="bullet"/>
      <w:lvlText w:val=""/>
      <w:lvlJc w:val="left"/>
      <w:pPr>
        <w:ind w:left="2880" w:hanging="360"/>
      </w:pPr>
      <w:rPr>
        <w:rFonts w:ascii="Symbol" w:hAnsi="Symbol" w:hint="default"/>
      </w:rPr>
    </w:lvl>
    <w:lvl w:ilvl="4" w:tplc="450C619E" w:tentative="1">
      <w:start w:val="1"/>
      <w:numFmt w:val="bullet"/>
      <w:lvlText w:val="o"/>
      <w:lvlJc w:val="left"/>
      <w:pPr>
        <w:ind w:left="3600" w:hanging="360"/>
      </w:pPr>
      <w:rPr>
        <w:rFonts w:ascii="Courier New" w:hAnsi="Courier New" w:cs="Courier New" w:hint="default"/>
      </w:rPr>
    </w:lvl>
    <w:lvl w:ilvl="5" w:tplc="81B45E80" w:tentative="1">
      <w:start w:val="1"/>
      <w:numFmt w:val="bullet"/>
      <w:lvlText w:val=""/>
      <w:lvlJc w:val="left"/>
      <w:pPr>
        <w:ind w:left="4320" w:hanging="360"/>
      </w:pPr>
      <w:rPr>
        <w:rFonts w:ascii="Wingdings" w:hAnsi="Wingdings" w:hint="default"/>
      </w:rPr>
    </w:lvl>
    <w:lvl w:ilvl="6" w:tplc="DBDC1DD8" w:tentative="1">
      <w:start w:val="1"/>
      <w:numFmt w:val="bullet"/>
      <w:lvlText w:val=""/>
      <w:lvlJc w:val="left"/>
      <w:pPr>
        <w:ind w:left="5040" w:hanging="360"/>
      </w:pPr>
      <w:rPr>
        <w:rFonts w:ascii="Symbol" w:hAnsi="Symbol" w:hint="default"/>
      </w:rPr>
    </w:lvl>
    <w:lvl w:ilvl="7" w:tplc="2F6827E8" w:tentative="1">
      <w:start w:val="1"/>
      <w:numFmt w:val="bullet"/>
      <w:lvlText w:val="o"/>
      <w:lvlJc w:val="left"/>
      <w:pPr>
        <w:ind w:left="5760" w:hanging="360"/>
      </w:pPr>
      <w:rPr>
        <w:rFonts w:ascii="Courier New" w:hAnsi="Courier New" w:cs="Courier New" w:hint="default"/>
      </w:rPr>
    </w:lvl>
    <w:lvl w:ilvl="8" w:tplc="73D8AF8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31EA359A">
      <w:start w:val="1"/>
      <w:numFmt w:val="bullet"/>
      <w:pStyle w:val="ESBulletsinTable"/>
      <w:lvlText w:val=""/>
      <w:lvlJc w:val="left"/>
      <w:pPr>
        <w:ind w:left="360" w:hanging="360"/>
      </w:pPr>
      <w:rPr>
        <w:rFonts w:ascii="Symbol" w:hAnsi="Symbol" w:hint="default"/>
        <w:color w:val="AF272F"/>
      </w:rPr>
    </w:lvl>
    <w:lvl w:ilvl="1" w:tplc="B5A8A592">
      <w:start w:val="1"/>
      <w:numFmt w:val="bullet"/>
      <w:pStyle w:val="ESBulletsinTableLevel2"/>
      <w:lvlText w:val="o"/>
      <w:lvlJc w:val="left"/>
      <w:pPr>
        <w:ind w:left="1440" w:hanging="360"/>
      </w:pPr>
      <w:rPr>
        <w:rFonts w:ascii="Courier New" w:hAnsi="Courier New" w:cs="Courier New" w:hint="default"/>
      </w:rPr>
    </w:lvl>
    <w:lvl w:ilvl="2" w:tplc="849E0928" w:tentative="1">
      <w:start w:val="1"/>
      <w:numFmt w:val="bullet"/>
      <w:lvlText w:val=""/>
      <w:lvlJc w:val="left"/>
      <w:pPr>
        <w:ind w:left="2160" w:hanging="360"/>
      </w:pPr>
      <w:rPr>
        <w:rFonts w:ascii="Wingdings" w:hAnsi="Wingdings" w:hint="default"/>
      </w:rPr>
    </w:lvl>
    <w:lvl w:ilvl="3" w:tplc="9D1A857C" w:tentative="1">
      <w:start w:val="1"/>
      <w:numFmt w:val="bullet"/>
      <w:lvlText w:val=""/>
      <w:lvlJc w:val="left"/>
      <w:pPr>
        <w:ind w:left="2880" w:hanging="360"/>
      </w:pPr>
      <w:rPr>
        <w:rFonts w:ascii="Symbol" w:hAnsi="Symbol" w:hint="default"/>
      </w:rPr>
    </w:lvl>
    <w:lvl w:ilvl="4" w:tplc="8894FDA2" w:tentative="1">
      <w:start w:val="1"/>
      <w:numFmt w:val="bullet"/>
      <w:lvlText w:val="o"/>
      <w:lvlJc w:val="left"/>
      <w:pPr>
        <w:ind w:left="3600" w:hanging="360"/>
      </w:pPr>
      <w:rPr>
        <w:rFonts w:ascii="Courier New" w:hAnsi="Courier New" w:cs="Courier New" w:hint="default"/>
      </w:rPr>
    </w:lvl>
    <w:lvl w:ilvl="5" w:tplc="BE80D670" w:tentative="1">
      <w:start w:val="1"/>
      <w:numFmt w:val="bullet"/>
      <w:lvlText w:val=""/>
      <w:lvlJc w:val="left"/>
      <w:pPr>
        <w:ind w:left="4320" w:hanging="360"/>
      </w:pPr>
      <w:rPr>
        <w:rFonts w:ascii="Wingdings" w:hAnsi="Wingdings" w:hint="default"/>
      </w:rPr>
    </w:lvl>
    <w:lvl w:ilvl="6" w:tplc="1D2C7FD8" w:tentative="1">
      <w:start w:val="1"/>
      <w:numFmt w:val="bullet"/>
      <w:lvlText w:val=""/>
      <w:lvlJc w:val="left"/>
      <w:pPr>
        <w:ind w:left="5040" w:hanging="360"/>
      </w:pPr>
      <w:rPr>
        <w:rFonts w:ascii="Symbol" w:hAnsi="Symbol" w:hint="default"/>
      </w:rPr>
    </w:lvl>
    <w:lvl w:ilvl="7" w:tplc="EE98DB74" w:tentative="1">
      <w:start w:val="1"/>
      <w:numFmt w:val="bullet"/>
      <w:lvlText w:val="o"/>
      <w:lvlJc w:val="left"/>
      <w:pPr>
        <w:ind w:left="5760" w:hanging="360"/>
      </w:pPr>
      <w:rPr>
        <w:rFonts w:ascii="Courier New" w:hAnsi="Courier New" w:cs="Courier New" w:hint="default"/>
      </w:rPr>
    </w:lvl>
    <w:lvl w:ilvl="8" w:tplc="8416C180"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A2A29ECC">
      <w:start w:val="1"/>
      <w:numFmt w:val="bullet"/>
      <w:lvlText w:val=""/>
      <w:lvlJc w:val="left"/>
      <w:pPr>
        <w:ind w:left="720" w:hanging="360"/>
      </w:pPr>
      <w:rPr>
        <w:rFonts w:ascii="Symbol" w:hAnsi="Symbol" w:hint="default"/>
      </w:rPr>
    </w:lvl>
    <w:lvl w:ilvl="1" w:tplc="6A7A3A48" w:tentative="1">
      <w:start w:val="1"/>
      <w:numFmt w:val="bullet"/>
      <w:lvlText w:val="o"/>
      <w:lvlJc w:val="left"/>
      <w:pPr>
        <w:ind w:left="1440" w:hanging="360"/>
      </w:pPr>
      <w:rPr>
        <w:rFonts w:ascii="Courier New" w:hAnsi="Courier New" w:cs="Courier New" w:hint="default"/>
      </w:rPr>
    </w:lvl>
    <w:lvl w:ilvl="2" w:tplc="2DC09028" w:tentative="1">
      <w:start w:val="1"/>
      <w:numFmt w:val="bullet"/>
      <w:lvlText w:val=""/>
      <w:lvlJc w:val="left"/>
      <w:pPr>
        <w:ind w:left="2160" w:hanging="360"/>
      </w:pPr>
      <w:rPr>
        <w:rFonts w:ascii="Wingdings" w:hAnsi="Wingdings" w:hint="default"/>
      </w:rPr>
    </w:lvl>
    <w:lvl w:ilvl="3" w:tplc="B4AC9A40" w:tentative="1">
      <w:start w:val="1"/>
      <w:numFmt w:val="bullet"/>
      <w:lvlText w:val=""/>
      <w:lvlJc w:val="left"/>
      <w:pPr>
        <w:ind w:left="2880" w:hanging="360"/>
      </w:pPr>
      <w:rPr>
        <w:rFonts w:ascii="Symbol" w:hAnsi="Symbol" w:hint="default"/>
      </w:rPr>
    </w:lvl>
    <w:lvl w:ilvl="4" w:tplc="0F8E02E2" w:tentative="1">
      <w:start w:val="1"/>
      <w:numFmt w:val="bullet"/>
      <w:lvlText w:val="o"/>
      <w:lvlJc w:val="left"/>
      <w:pPr>
        <w:ind w:left="3600" w:hanging="360"/>
      </w:pPr>
      <w:rPr>
        <w:rFonts w:ascii="Courier New" w:hAnsi="Courier New" w:cs="Courier New" w:hint="default"/>
      </w:rPr>
    </w:lvl>
    <w:lvl w:ilvl="5" w:tplc="088E7592" w:tentative="1">
      <w:start w:val="1"/>
      <w:numFmt w:val="bullet"/>
      <w:lvlText w:val=""/>
      <w:lvlJc w:val="left"/>
      <w:pPr>
        <w:ind w:left="4320" w:hanging="360"/>
      </w:pPr>
      <w:rPr>
        <w:rFonts w:ascii="Wingdings" w:hAnsi="Wingdings" w:hint="default"/>
      </w:rPr>
    </w:lvl>
    <w:lvl w:ilvl="6" w:tplc="F202C7EE" w:tentative="1">
      <w:start w:val="1"/>
      <w:numFmt w:val="bullet"/>
      <w:lvlText w:val=""/>
      <w:lvlJc w:val="left"/>
      <w:pPr>
        <w:ind w:left="5040" w:hanging="360"/>
      </w:pPr>
      <w:rPr>
        <w:rFonts w:ascii="Symbol" w:hAnsi="Symbol" w:hint="default"/>
      </w:rPr>
    </w:lvl>
    <w:lvl w:ilvl="7" w:tplc="ADC2895E" w:tentative="1">
      <w:start w:val="1"/>
      <w:numFmt w:val="bullet"/>
      <w:lvlText w:val="o"/>
      <w:lvlJc w:val="left"/>
      <w:pPr>
        <w:ind w:left="5760" w:hanging="360"/>
      </w:pPr>
      <w:rPr>
        <w:rFonts w:ascii="Courier New" w:hAnsi="Courier New" w:cs="Courier New" w:hint="default"/>
      </w:rPr>
    </w:lvl>
    <w:lvl w:ilvl="8" w:tplc="3CAE3500"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A64C4BC4">
      <w:start w:val="1"/>
      <w:numFmt w:val="bullet"/>
      <w:lvlText w:val=""/>
      <w:lvlJc w:val="left"/>
      <w:pPr>
        <w:ind w:left="180" w:hanging="360"/>
      </w:pPr>
      <w:rPr>
        <w:rFonts w:ascii="Symbol" w:hAnsi="Symbol" w:hint="default"/>
      </w:rPr>
    </w:lvl>
    <w:lvl w:ilvl="1" w:tplc="F344F828" w:tentative="1">
      <w:start w:val="1"/>
      <w:numFmt w:val="bullet"/>
      <w:lvlText w:val="o"/>
      <w:lvlJc w:val="left"/>
      <w:pPr>
        <w:ind w:left="900" w:hanging="360"/>
      </w:pPr>
      <w:rPr>
        <w:rFonts w:ascii="Courier New" w:hAnsi="Courier New" w:cs="Courier New" w:hint="default"/>
      </w:rPr>
    </w:lvl>
    <w:lvl w:ilvl="2" w:tplc="D84EE870" w:tentative="1">
      <w:start w:val="1"/>
      <w:numFmt w:val="bullet"/>
      <w:lvlText w:val=""/>
      <w:lvlJc w:val="left"/>
      <w:pPr>
        <w:ind w:left="1620" w:hanging="360"/>
      </w:pPr>
      <w:rPr>
        <w:rFonts w:ascii="Wingdings" w:hAnsi="Wingdings" w:hint="default"/>
      </w:rPr>
    </w:lvl>
    <w:lvl w:ilvl="3" w:tplc="C678A6AE" w:tentative="1">
      <w:start w:val="1"/>
      <w:numFmt w:val="bullet"/>
      <w:lvlText w:val=""/>
      <w:lvlJc w:val="left"/>
      <w:pPr>
        <w:ind w:left="2340" w:hanging="360"/>
      </w:pPr>
      <w:rPr>
        <w:rFonts w:ascii="Symbol" w:hAnsi="Symbol" w:hint="default"/>
      </w:rPr>
    </w:lvl>
    <w:lvl w:ilvl="4" w:tplc="EE62EDFE" w:tentative="1">
      <w:start w:val="1"/>
      <w:numFmt w:val="bullet"/>
      <w:lvlText w:val="o"/>
      <w:lvlJc w:val="left"/>
      <w:pPr>
        <w:ind w:left="3060" w:hanging="360"/>
      </w:pPr>
      <w:rPr>
        <w:rFonts w:ascii="Courier New" w:hAnsi="Courier New" w:cs="Courier New" w:hint="default"/>
      </w:rPr>
    </w:lvl>
    <w:lvl w:ilvl="5" w:tplc="E40645F4" w:tentative="1">
      <w:start w:val="1"/>
      <w:numFmt w:val="bullet"/>
      <w:lvlText w:val=""/>
      <w:lvlJc w:val="left"/>
      <w:pPr>
        <w:ind w:left="3780" w:hanging="360"/>
      </w:pPr>
      <w:rPr>
        <w:rFonts w:ascii="Wingdings" w:hAnsi="Wingdings" w:hint="default"/>
      </w:rPr>
    </w:lvl>
    <w:lvl w:ilvl="6" w:tplc="38825008" w:tentative="1">
      <w:start w:val="1"/>
      <w:numFmt w:val="bullet"/>
      <w:lvlText w:val=""/>
      <w:lvlJc w:val="left"/>
      <w:pPr>
        <w:ind w:left="4500" w:hanging="360"/>
      </w:pPr>
      <w:rPr>
        <w:rFonts w:ascii="Symbol" w:hAnsi="Symbol" w:hint="default"/>
      </w:rPr>
    </w:lvl>
    <w:lvl w:ilvl="7" w:tplc="CCF449AE" w:tentative="1">
      <w:start w:val="1"/>
      <w:numFmt w:val="bullet"/>
      <w:lvlText w:val="o"/>
      <w:lvlJc w:val="left"/>
      <w:pPr>
        <w:ind w:left="5220" w:hanging="360"/>
      </w:pPr>
      <w:rPr>
        <w:rFonts w:ascii="Courier New" w:hAnsi="Courier New" w:cs="Courier New" w:hint="default"/>
      </w:rPr>
    </w:lvl>
    <w:lvl w:ilvl="8" w:tplc="F2F099AC"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3EC6A8CA">
      <w:start w:val="1"/>
      <w:numFmt w:val="bullet"/>
      <w:lvlText w:val=""/>
      <w:lvlJc w:val="left"/>
      <w:pPr>
        <w:ind w:left="720" w:hanging="360"/>
      </w:pPr>
      <w:rPr>
        <w:rFonts w:ascii="Symbol" w:hAnsi="Symbol" w:hint="default"/>
      </w:rPr>
    </w:lvl>
    <w:lvl w:ilvl="1" w:tplc="BE3C74AA" w:tentative="1">
      <w:start w:val="1"/>
      <w:numFmt w:val="bullet"/>
      <w:lvlText w:val="o"/>
      <w:lvlJc w:val="left"/>
      <w:pPr>
        <w:ind w:left="1440" w:hanging="360"/>
      </w:pPr>
      <w:rPr>
        <w:rFonts w:ascii="Courier New" w:hAnsi="Courier New" w:cs="Courier New" w:hint="default"/>
      </w:rPr>
    </w:lvl>
    <w:lvl w:ilvl="2" w:tplc="081C76AE" w:tentative="1">
      <w:start w:val="1"/>
      <w:numFmt w:val="bullet"/>
      <w:lvlText w:val=""/>
      <w:lvlJc w:val="left"/>
      <w:pPr>
        <w:ind w:left="2160" w:hanging="360"/>
      </w:pPr>
      <w:rPr>
        <w:rFonts w:ascii="Wingdings" w:hAnsi="Wingdings" w:hint="default"/>
      </w:rPr>
    </w:lvl>
    <w:lvl w:ilvl="3" w:tplc="6DACD1F6" w:tentative="1">
      <w:start w:val="1"/>
      <w:numFmt w:val="bullet"/>
      <w:lvlText w:val=""/>
      <w:lvlJc w:val="left"/>
      <w:pPr>
        <w:ind w:left="2880" w:hanging="360"/>
      </w:pPr>
      <w:rPr>
        <w:rFonts w:ascii="Symbol" w:hAnsi="Symbol" w:hint="default"/>
      </w:rPr>
    </w:lvl>
    <w:lvl w:ilvl="4" w:tplc="6568E478" w:tentative="1">
      <w:start w:val="1"/>
      <w:numFmt w:val="bullet"/>
      <w:lvlText w:val="o"/>
      <w:lvlJc w:val="left"/>
      <w:pPr>
        <w:ind w:left="3600" w:hanging="360"/>
      </w:pPr>
      <w:rPr>
        <w:rFonts w:ascii="Courier New" w:hAnsi="Courier New" w:cs="Courier New" w:hint="default"/>
      </w:rPr>
    </w:lvl>
    <w:lvl w:ilvl="5" w:tplc="7C7401CA" w:tentative="1">
      <w:start w:val="1"/>
      <w:numFmt w:val="bullet"/>
      <w:lvlText w:val=""/>
      <w:lvlJc w:val="left"/>
      <w:pPr>
        <w:ind w:left="4320" w:hanging="360"/>
      </w:pPr>
      <w:rPr>
        <w:rFonts w:ascii="Wingdings" w:hAnsi="Wingdings" w:hint="default"/>
      </w:rPr>
    </w:lvl>
    <w:lvl w:ilvl="6" w:tplc="010A4344" w:tentative="1">
      <w:start w:val="1"/>
      <w:numFmt w:val="bullet"/>
      <w:lvlText w:val=""/>
      <w:lvlJc w:val="left"/>
      <w:pPr>
        <w:ind w:left="5040" w:hanging="360"/>
      </w:pPr>
      <w:rPr>
        <w:rFonts w:ascii="Symbol" w:hAnsi="Symbol" w:hint="default"/>
      </w:rPr>
    </w:lvl>
    <w:lvl w:ilvl="7" w:tplc="E47E6ACC" w:tentative="1">
      <w:start w:val="1"/>
      <w:numFmt w:val="bullet"/>
      <w:lvlText w:val="o"/>
      <w:lvlJc w:val="left"/>
      <w:pPr>
        <w:ind w:left="5760" w:hanging="360"/>
      </w:pPr>
      <w:rPr>
        <w:rFonts w:ascii="Courier New" w:hAnsi="Courier New" w:cs="Courier New" w:hint="default"/>
      </w:rPr>
    </w:lvl>
    <w:lvl w:ilvl="8" w:tplc="A84CE7D4"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947244B6">
      <w:start w:val="1"/>
      <w:numFmt w:val="bullet"/>
      <w:lvlText w:val=""/>
      <w:lvlJc w:val="left"/>
      <w:pPr>
        <w:ind w:left="180" w:hanging="360"/>
      </w:pPr>
      <w:rPr>
        <w:rFonts w:ascii="Symbol" w:hAnsi="Symbol" w:hint="default"/>
      </w:rPr>
    </w:lvl>
    <w:lvl w:ilvl="1" w:tplc="8F16E288" w:tentative="1">
      <w:start w:val="1"/>
      <w:numFmt w:val="bullet"/>
      <w:lvlText w:val="o"/>
      <w:lvlJc w:val="left"/>
      <w:pPr>
        <w:ind w:left="900" w:hanging="360"/>
      </w:pPr>
      <w:rPr>
        <w:rFonts w:ascii="Courier New" w:hAnsi="Courier New" w:cs="Courier New" w:hint="default"/>
      </w:rPr>
    </w:lvl>
    <w:lvl w:ilvl="2" w:tplc="128AA2FC" w:tentative="1">
      <w:start w:val="1"/>
      <w:numFmt w:val="bullet"/>
      <w:lvlText w:val=""/>
      <w:lvlJc w:val="left"/>
      <w:pPr>
        <w:ind w:left="1620" w:hanging="360"/>
      </w:pPr>
      <w:rPr>
        <w:rFonts w:ascii="Wingdings" w:hAnsi="Wingdings" w:hint="default"/>
      </w:rPr>
    </w:lvl>
    <w:lvl w:ilvl="3" w:tplc="2EEEEDF0" w:tentative="1">
      <w:start w:val="1"/>
      <w:numFmt w:val="bullet"/>
      <w:lvlText w:val=""/>
      <w:lvlJc w:val="left"/>
      <w:pPr>
        <w:ind w:left="2340" w:hanging="360"/>
      </w:pPr>
      <w:rPr>
        <w:rFonts w:ascii="Symbol" w:hAnsi="Symbol" w:hint="default"/>
      </w:rPr>
    </w:lvl>
    <w:lvl w:ilvl="4" w:tplc="A5A415AE" w:tentative="1">
      <w:start w:val="1"/>
      <w:numFmt w:val="bullet"/>
      <w:lvlText w:val="o"/>
      <w:lvlJc w:val="left"/>
      <w:pPr>
        <w:ind w:left="3060" w:hanging="360"/>
      </w:pPr>
      <w:rPr>
        <w:rFonts w:ascii="Courier New" w:hAnsi="Courier New" w:cs="Courier New" w:hint="default"/>
      </w:rPr>
    </w:lvl>
    <w:lvl w:ilvl="5" w:tplc="1D8C0BCE" w:tentative="1">
      <w:start w:val="1"/>
      <w:numFmt w:val="bullet"/>
      <w:lvlText w:val=""/>
      <w:lvlJc w:val="left"/>
      <w:pPr>
        <w:ind w:left="3780" w:hanging="360"/>
      </w:pPr>
      <w:rPr>
        <w:rFonts w:ascii="Wingdings" w:hAnsi="Wingdings" w:hint="default"/>
      </w:rPr>
    </w:lvl>
    <w:lvl w:ilvl="6" w:tplc="2C725D58" w:tentative="1">
      <w:start w:val="1"/>
      <w:numFmt w:val="bullet"/>
      <w:lvlText w:val=""/>
      <w:lvlJc w:val="left"/>
      <w:pPr>
        <w:ind w:left="4500" w:hanging="360"/>
      </w:pPr>
      <w:rPr>
        <w:rFonts w:ascii="Symbol" w:hAnsi="Symbol" w:hint="default"/>
      </w:rPr>
    </w:lvl>
    <w:lvl w:ilvl="7" w:tplc="7F94C9AC" w:tentative="1">
      <w:start w:val="1"/>
      <w:numFmt w:val="bullet"/>
      <w:lvlText w:val="o"/>
      <w:lvlJc w:val="left"/>
      <w:pPr>
        <w:ind w:left="5220" w:hanging="360"/>
      </w:pPr>
      <w:rPr>
        <w:rFonts w:ascii="Courier New" w:hAnsi="Courier New" w:cs="Courier New" w:hint="default"/>
      </w:rPr>
    </w:lvl>
    <w:lvl w:ilvl="8" w:tplc="430C787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1E42519A">
      <w:start w:val="1"/>
      <w:numFmt w:val="bullet"/>
      <w:lvlText w:val=""/>
      <w:lvlJc w:val="left"/>
      <w:pPr>
        <w:ind w:left="720" w:hanging="360"/>
      </w:pPr>
      <w:rPr>
        <w:rFonts w:ascii="Symbol" w:hAnsi="Symbol" w:hint="default"/>
      </w:rPr>
    </w:lvl>
    <w:lvl w:ilvl="1" w:tplc="E3BAF3F8" w:tentative="1">
      <w:start w:val="1"/>
      <w:numFmt w:val="bullet"/>
      <w:lvlText w:val="o"/>
      <w:lvlJc w:val="left"/>
      <w:pPr>
        <w:ind w:left="1440" w:hanging="360"/>
      </w:pPr>
      <w:rPr>
        <w:rFonts w:ascii="Courier New" w:hAnsi="Courier New" w:cs="Courier New" w:hint="default"/>
      </w:rPr>
    </w:lvl>
    <w:lvl w:ilvl="2" w:tplc="1632C5E8" w:tentative="1">
      <w:start w:val="1"/>
      <w:numFmt w:val="bullet"/>
      <w:lvlText w:val=""/>
      <w:lvlJc w:val="left"/>
      <w:pPr>
        <w:ind w:left="2160" w:hanging="360"/>
      </w:pPr>
      <w:rPr>
        <w:rFonts w:ascii="Wingdings" w:hAnsi="Wingdings" w:hint="default"/>
      </w:rPr>
    </w:lvl>
    <w:lvl w:ilvl="3" w:tplc="D68C3D30" w:tentative="1">
      <w:start w:val="1"/>
      <w:numFmt w:val="bullet"/>
      <w:lvlText w:val=""/>
      <w:lvlJc w:val="left"/>
      <w:pPr>
        <w:ind w:left="2880" w:hanging="360"/>
      </w:pPr>
      <w:rPr>
        <w:rFonts w:ascii="Symbol" w:hAnsi="Symbol" w:hint="default"/>
      </w:rPr>
    </w:lvl>
    <w:lvl w:ilvl="4" w:tplc="D7A8FA92" w:tentative="1">
      <w:start w:val="1"/>
      <w:numFmt w:val="bullet"/>
      <w:lvlText w:val="o"/>
      <w:lvlJc w:val="left"/>
      <w:pPr>
        <w:ind w:left="3600" w:hanging="360"/>
      </w:pPr>
      <w:rPr>
        <w:rFonts w:ascii="Courier New" w:hAnsi="Courier New" w:cs="Courier New" w:hint="default"/>
      </w:rPr>
    </w:lvl>
    <w:lvl w:ilvl="5" w:tplc="62340374" w:tentative="1">
      <w:start w:val="1"/>
      <w:numFmt w:val="bullet"/>
      <w:lvlText w:val=""/>
      <w:lvlJc w:val="left"/>
      <w:pPr>
        <w:ind w:left="4320" w:hanging="360"/>
      </w:pPr>
      <w:rPr>
        <w:rFonts w:ascii="Wingdings" w:hAnsi="Wingdings" w:hint="default"/>
      </w:rPr>
    </w:lvl>
    <w:lvl w:ilvl="6" w:tplc="C1A20690" w:tentative="1">
      <w:start w:val="1"/>
      <w:numFmt w:val="bullet"/>
      <w:lvlText w:val=""/>
      <w:lvlJc w:val="left"/>
      <w:pPr>
        <w:ind w:left="5040" w:hanging="360"/>
      </w:pPr>
      <w:rPr>
        <w:rFonts w:ascii="Symbol" w:hAnsi="Symbol" w:hint="default"/>
      </w:rPr>
    </w:lvl>
    <w:lvl w:ilvl="7" w:tplc="0F8E2230" w:tentative="1">
      <w:start w:val="1"/>
      <w:numFmt w:val="bullet"/>
      <w:lvlText w:val="o"/>
      <w:lvlJc w:val="left"/>
      <w:pPr>
        <w:ind w:left="5760" w:hanging="360"/>
      </w:pPr>
      <w:rPr>
        <w:rFonts w:ascii="Courier New" w:hAnsi="Courier New" w:cs="Courier New" w:hint="default"/>
      </w:rPr>
    </w:lvl>
    <w:lvl w:ilvl="8" w:tplc="EFA679F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8CCCB6C"/>
    <w:lvl w:ilvl="0" w:tplc="32BA51A8">
      <w:numFmt w:val="bullet"/>
      <w:lvlText w:val="•"/>
      <w:lvlJc w:val="left"/>
      <w:pPr>
        <w:ind w:left="1080" w:hanging="720"/>
      </w:pPr>
      <w:rPr>
        <w:rFonts w:ascii="Arial" w:eastAsiaTheme="minorEastAsia" w:hAnsi="Arial" w:cs="Arial" w:hint="default"/>
      </w:rPr>
    </w:lvl>
    <w:lvl w:ilvl="1" w:tplc="10B44F96" w:tentative="1">
      <w:start w:val="1"/>
      <w:numFmt w:val="bullet"/>
      <w:lvlText w:val="o"/>
      <w:lvlJc w:val="left"/>
      <w:pPr>
        <w:ind w:left="1440" w:hanging="360"/>
      </w:pPr>
      <w:rPr>
        <w:rFonts w:ascii="Courier New" w:hAnsi="Courier New" w:cs="Courier New" w:hint="default"/>
      </w:rPr>
    </w:lvl>
    <w:lvl w:ilvl="2" w:tplc="9A0A0FFE" w:tentative="1">
      <w:start w:val="1"/>
      <w:numFmt w:val="bullet"/>
      <w:lvlText w:val=""/>
      <w:lvlJc w:val="left"/>
      <w:pPr>
        <w:ind w:left="2160" w:hanging="360"/>
      </w:pPr>
      <w:rPr>
        <w:rFonts w:ascii="Wingdings" w:hAnsi="Wingdings" w:hint="default"/>
      </w:rPr>
    </w:lvl>
    <w:lvl w:ilvl="3" w:tplc="F7367722" w:tentative="1">
      <w:start w:val="1"/>
      <w:numFmt w:val="bullet"/>
      <w:lvlText w:val=""/>
      <w:lvlJc w:val="left"/>
      <w:pPr>
        <w:ind w:left="2880" w:hanging="360"/>
      </w:pPr>
      <w:rPr>
        <w:rFonts w:ascii="Symbol" w:hAnsi="Symbol" w:hint="default"/>
      </w:rPr>
    </w:lvl>
    <w:lvl w:ilvl="4" w:tplc="B97A2006" w:tentative="1">
      <w:start w:val="1"/>
      <w:numFmt w:val="bullet"/>
      <w:lvlText w:val="o"/>
      <w:lvlJc w:val="left"/>
      <w:pPr>
        <w:ind w:left="3600" w:hanging="360"/>
      </w:pPr>
      <w:rPr>
        <w:rFonts w:ascii="Courier New" w:hAnsi="Courier New" w:cs="Courier New" w:hint="default"/>
      </w:rPr>
    </w:lvl>
    <w:lvl w:ilvl="5" w:tplc="07328B58" w:tentative="1">
      <w:start w:val="1"/>
      <w:numFmt w:val="bullet"/>
      <w:lvlText w:val=""/>
      <w:lvlJc w:val="left"/>
      <w:pPr>
        <w:ind w:left="4320" w:hanging="360"/>
      </w:pPr>
      <w:rPr>
        <w:rFonts w:ascii="Wingdings" w:hAnsi="Wingdings" w:hint="default"/>
      </w:rPr>
    </w:lvl>
    <w:lvl w:ilvl="6" w:tplc="11BE14F0" w:tentative="1">
      <w:start w:val="1"/>
      <w:numFmt w:val="bullet"/>
      <w:lvlText w:val=""/>
      <w:lvlJc w:val="left"/>
      <w:pPr>
        <w:ind w:left="5040" w:hanging="360"/>
      </w:pPr>
      <w:rPr>
        <w:rFonts w:ascii="Symbol" w:hAnsi="Symbol" w:hint="default"/>
      </w:rPr>
    </w:lvl>
    <w:lvl w:ilvl="7" w:tplc="7878FAAA" w:tentative="1">
      <w:start w:val="1"/>
      <w:numFmt w:val="bullet"/>
      <w:lvlText w:val="o"/>
      <w:lvlJc w:val="left"/>
      <w:pPr>
        <w:ind w:left="5760" w:hanging="360"/>
      </w:pPr>
      <w:rPr>
        <w:rFonts w:ascii="Courier New" w:hAnsi="Courier New" w:cs="Courier New" w:hint="default"/>
      </w:rPr>
    </w:lvl>
    <w:lvl w:ilvl="8" w:tplc="D40ECDF0"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0D76C286"/>
    <w:lvl w:ilvl="0" w:tplc="A8CE5E94">
      <w:start w:val="1"/>
      <w:numFmt w:val="decimal"/>
      <w:lvlText w:val="%1."/>
      <w:lvlJc w:val="left"/>
      <w:pPr>
        <w:ind w:left="360" w:hanging="360"/>
      </w:pPr>
    </w:lvl>
    <w:lvl w:ilvl="1" w:tplc="C916E736" w:tentative="1">
      <w:start w:val="1"/>
      <w:numFmt w:val="lowerLetter"/>
      <w:lvlText w:val="%2."/>
      <w:lvlJc w:val="left"/>
      <w:pPr>
        <w:ind w:left="1080" w:hanging="360"/>
      </w:pPr>
    </w:lvl>
    <w:lvl w:ilvl="2" w:tplc="BADC2AA6" w:tentative="1">
      <w:start w:val="1"/>
      <w:numFmt w:val="lowerRoman"/>
      <w:lvlText w:val="%3."/>
      <w:lvlJc w:val="right"/>
      <w:pPr>
        <w:ind w:left="1800" w:hanging="180"/>
      </w:pPr>
    </w:lvl>
    <w:lvl w:ilvl="3" w:tplc="721297CA" w:tentative="1">
      <w:start w:val="1"/>
      <w:numFmt w:val="decimal"/>
      <w:lvlText w:val="%4."/>
      <w:lvlJc w:val="left"/>
      <w:pPr>
        <w:ind w:left="2520" w:hanging="360"/>
      </w:pPr>
    </w:lvl>
    <w:lvl w:ilvl="4" w:tplc="A6161FB2" w:tentative="1">
      <w:start w:val="1"/>
      <w:numFmt w:val="lowerLetter"/>
      <w:lvlText w:val="%5."/>
      <w:lvlJc w:val="left"/>
      <w:pPr>
        <w:ind w:left="3240" w:hanging="360"/>
      </w:pPr>
    </w:lvl>
    <w:lvl w:ilvl="5" w:tplc="3B50D8C4" w:tentative="1">
      <w:start w:val="1"/>
      <w:numFmt w:val="lowerRoman"/>
      <w:lvlText w:val="%6."/>
      <w:lvlJc w:val="right"/>
      <w:pPr>
        <w:ind w:left="3960" w:hanging="180"/>
      </w:pPr>
    </w:lvl>
    <w:lvl w:ilvl="6" w:tplc="7DA6ADC4" w:tentative="1">
      <w:start w:val="1"/>
      <w:numFmt w:val="decimal"/>
      <w:lvlText w:val="%7."/>
      <w:lvlJc w:val="left"/>
      <w:pPr>
        <w:ind w:left="4680" w:hanging="360"/>
      </w:pPr>
    </w:lvl>
    <w:lvl w:ilvl="7" w:tplc="B2086242" w:tentative="1">
      <w:start w:val="1"/>
      <w:numFmt w:val="lowerLetter"/>
      <w:lvlText w:val="%8."/>
      <w:lvlJc w:val="left"/>
      <w:pPr>
        <w:ind w:left="5400" w:hanging="360"/>
      </w:pPr>
    </w:lvl>
    <w:lvl w:ilvl="8" w:tplc="F19215EA" w:tentative="1">
      <w:start w:val="1"/>
      <w:numFmt w:val="lowerRoman"/>
      <w:lvlText w:val="%9."/>
      <w:lvlJc w:val="right"/>
      <w:pPr>
        <w:ind w:left="6120" w:hanging="180"/>
      </w:pPr>
    </w:lvl>
  </w:abstractNum>
  <w:abstractNum w:abstractNumId="28" w15:restartNumberingAfterBreak="0">
    <w:nsid w:val="7FCB6DE3"/>
    <w:multiLevelType w:val="hybridMultilevel"/>
    <w:tmpl w:val="BDA61AAC"/>
    <w:lvl w:ilvl="0" w:tplc="17625C7E">
      <w:start w:val="1"/>
      <w:numFmt w:val="bullet"/>
      <w:lvlText w:val=""/>
      <w:lvlJc w:val="left"/>
      <w:pPr>
        <w:ind w:left="720" w:hanging="360"/>
      </w:pPr>
      <w:rPr>
        <w:rFonts w:ascii="Symbol" w:hAnsi="Symbol" w:hint="default"/>
      </w:rPr>
    </w:lvl>
    <w:lvl w:ilvl="1" w:tplc="EB3850B6">
      <w:start w:val="1"/>
      <w:numFmt w:val="bullet"/>
      <w:lvlText w:val="o"/>
      <w:lvlJc w:val="left"/>
      <w:pPr>
        <w:ind w:left="1440" w:hanging="360"/>
      </w:pPr>
      <w:rPr>
        <w:rFonts w:ascii="Courier New" w:hAnsi="Courier New" w:cs="Courier New" w:hint="default"/>
      </w:rPr>
    </w:lvl>
    <w:lvl w:ilvl="2" w:tplc="C1DEE29C" w:tentative="1">
      <w:start w:val="1"/>
      <w:numFmt w:val="bullet"/>
      <w:lvlText w:val=""/>
      <w:lvlJc w:val="left"/>
      <w:pPr>
        <w:ind w:left="2160" w:hanging="360"/>
      </w:pPr>
      <w:rPr>
        <w:rFonts w:ascii="Wingdings" w:hAnsi="Wingdings" w:hint="default"/>
      </w:rPr>
    </w:lvl>
    <w:lvl w:ilvl="3" w:tplc="387A1F26" w:tentative="1">
      <w:start w:val="1"/>
      <w:numFmt w:val="bullet"/>
      <w:lvlText w:val=""/>
      <w:lvlJc w:val="left"/>
      <w:pPr>
        <w:ind w:left="2880" w:hanging="360"/>
      </w:pPr>
      <w:rPr>
        <w:rFonts w:ascii="Symbol" w:hAnsi="Symbol" w:hint="default"/>
      </w:rPr>
    </w:lvl>
    <w:lvl w:ilvl="4" w:tplc="4C8AD1FE" w:tentative="1">
      <w:start w:val="1"/>
      <w:numFmt w:val="bullet"/>
      <w:lvlText w:val="o"/>
      <w:lvlJc w:val="left"/>
      <w:pPr>
        <w:ind w:left="3600" w:hanging="360"/>
      </w:pPr>
      <w:rPr>
        <w:rFonts w:ascii="Courier New" w:hAnsi="Courier New" w:cs="Courier New" w:hint="default"/>
      </w:rPr>
    </w:lvl>
    <w:lvl w:ilvl="5" w:tplc="A596DB54" w:tentative="1">
      <w:start w:val="1"/>
      <w:numFmt w:val="bullet"/>
      <w:lvlText w:val=""/>
      <w:lvlJc w:val="left"/>
      <w:pPr>
        <w:ind w:left="4320" w:hanging="360"/>
      </w:pPr>
      <w:rPr>
        <w:rFonts w:ascii="Wingdings" w:hAnsi="Wingdings" w:hint="default"/>
      </w:rPr>
    </w:lvl>
    <w:lvl w:ilvl="6" w:tplc="9DDC8510" w:tentative="1">
      <w:start w:val="1"/>
      <w:numFmt w:val="bullet"/>
      <w:lvlText w:val=""/>
      <w:lvlJc w:val="left"/>
      <w:pPr>
        <w:ind w:left="5040" w:hanging="360"/>
      </w:pPr>
      <w:rPr>
        <w:rFonts w:ascii="Symbol" w:hAnsi="Symbol" w:hint="default"/>
      </w:rPr>
    </w:lvl>
    <w:lvl w:ilvl="7" w:tplc="27E03154" w:tentative="1">
      <w:start w:val="1"/>
      <w:numFmt w:val="bullet"/>
      <w:lvlText w:val="o"/>
      <w:lvlJc w:val="left"/>
      <w:pPr>
        <w:ind w:left="5760" w:hanging="360"/>
      </w:pPr>
      <w:rPr>
        <w:rFonts w:ascii="Courier New" w:hAnsi="Courier New" w:cs="Courier New" w:hint="default"/>
      </w:rPr>
    </w:lvl>
    <w:lvl w:ilvl="8" w:tplc="ABD20C60"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5E7875AC"/>
    <w:lvl w:ilvl="0" w:tplc="0D5CE7E8">
      <w:numFmt w:val="bullet"/>
      <w:lvlText w:val="-"/>
      <w:lvlJc w:val="left"/>
      <w:pPr>
        <w:ind w:left="1440" w:hanging="360"/>
      </w:pPr>
      <w:rPr>
        <w:rFonts w:ascii="Arial" w:eastAsia="Arial" w:hAnsi="Arial" w:cs="Arial" w:hint="default"/>
      </w:rPr>
    </w:lvl>
    <w:lvl w:ilvl="1" w:tplc="44E69F38">
      <w:start w:val="1"/>
      <w:numFmt w:val="bullet"/>
      <w:lvlText w:val="o"/>
      <w:lvlJc w:val="left"/>
      <w:pPr>
        <w:ind w:left="2160" w:hanging="360"/>
      </w:pPr>
      <w:rPr>
        <w:rFonts w:ascii="Courier New" w:hAnsi="Courier New" w:cs="Courier New" w:hint="default"/>
      </w:rPr>
    </w:lvl>
    <w:lvl w:ilvl="2" w:tplc="C3D68F56" w:tentative="1">
      <w:start w:val="1"/>
      <w:numFmt w:val="bullet"/>
      <w:lvlText w:val=""/>
      <w:lvlJc w:val="left"/>
      <w:pPr>
        <w:ind w:left="2880" w:hanging="360"/>
      </w:pPr>
      <w:rPr>
        <w:rFonts w:ascii="Wingdings" w:hAnsi="Wingdings" w:hint="default"/>
      </w:rPr>
    </w:lvl>
    <w:lvl w:ilvl="3" w:tplc="4AB0932E" w:tentative="1">
      <w:start w:val="1"/>
      <w:numFmt w:val="bullet"/>
      <w:lvlText w:val=""/>
      <w:lvlJc w:val="left"/>
      <w:pPr>
        <w:ind w:left="3600" w:hanging="360"/>
      </w:pPr>
      <w:rPr>
        <w:rFonts w:ascii="Symbol" w:hAnsi="Symbol" w:hint="default"/>
      </w:rPr>
    </w:lvl>
    <w:lvl w:ilvl="4" w:tplc="C9822122" w:tentative="1">
      <w:start w:val="1"/>
      <w:numFmt w:val="bullet"/>
      <w:lvlText w:val="o"/>
      <w:lvlJc w:val="left"/>
      <w:pPr>
        <w:ind w:left="4320" w:hanging="360"/>
      </w:pPr>
      <w:rPr>
        <w:rFonts w:ascii="Courier New" w:hAnsi="Courier New" w:cs="Courier New" w:hint="default"/>
      </w:rPr>
    </w:lvl>
    <w:lvl w:ilvl="5" w:tplc="8EAAA732" w:tentative="1">
      <w:start w:val="1"/>
      <w:numFmt w:val="bullet"/>
      <w:lvlText w:val=""/>
      <w:lvlJc w:val="left"/>
      <w:pPr>
        <w:ind w:left="5040" w:hanging="360"/>
      </w:pPr>
      <w:rPr>
        <w:rFonts w:ascii="Wingdings" w:hAnsi="Wingdings" w:hint="default"/>
      </w:rPr>
    </w:lvl>
    <w:lvl w:ilvl="6" w:tplc="D6F8A402" w:tentative="1">
      <w:start w:val="1"/>
      <w:numFmt w:val="bullet"/>
      <w:lvlText w:val=""/>
      <w:lvlJc w:val="left"/>
      <w:pPr>
        <w:ind w:left="5760" w:hanging="360"/>
      </w:pPr>
      <w:rPr>
        <w:rFonts w:ascii="Symbol" w:hAnsi="Symbol" w:hint="default"/>
      </w:rPr>
    </w:lvl>
    <w:lvl w:ilvl="7" w:tplc="8C005592" w:tentative="1">
      <w:start w:val="1"/>
      <w:numFmt w:val="bullet"/>
      <w:lvlText w:val="o"/>
      <w:lvlJc w:val="left"/>
      <w:pPr>
        <w:ind w:left="6480" w:hanging="360"/>
      </w:pPr>
      <w:rPr>
        <w:rFonts w:ascii="Courier New" w:hAnsi="Courier New" w:cs="Courier New" w:hint="default"/>
      </w:rPr>
    </w:lvl>
    <w:lvl w:ilvl="8" w:tplc="3AAE71FA"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8DB4C5EC"/>
    <w:lvl w:ilvl="0" w:tplc="B9628BF4">
      <w:start w:val="1"/>
      <w:numFmt w:val="bullet"/>
      <w:lvlText w:val=""/>
      <w:lvlJc w:val="left"/>
      <w:pPr>
        <w:ind w:left="720" w:hanging="360"/>
      </w:pPr>
      <w:rPr>
        <w:rFonts w:ascii="Symbol" w:hAnsi="Symbol" w:hint="default"/>
      </w:rPr>
    </w:lvl>
    <w:lvl w:ilvl="1" w:tplc="98A6859E">
      <w:start w:val="1"/>
      <w:numFmt w:val="bullet"/>
      <w:lvlText w:val="o"/>
      <w:lvlJc w:val="left"/>
      <w:pPr>
        <w:ind w:left="1440" w:hanging="360"/>
      </w:pPr>
      <w:rPr>
        <w:rFonts w:ascii="Courier New" w:hAnsi="Courier New" w:cs="Courier New" w:hint="default"/>
      </w:rPr>
    </w:lvl>
    <w:lvl w:ilvl="2" w:tplc="6CC64378" w:tentative="1">
      <w:start w:val="1"/>
      <w:numFmt w:val="bullet"/>
      <w:lvlText w:val=""/>
      <w:lvlJc w:val="left"/>
      <w:pPr>
        <w:ind w:left="2160" w:hanging="360"/>
      </w:pPr>
      <w:rPr>
        <w:rFonts w:ascii="Wingdings" w:hAnsi="Wingdings" w:hint="default"/>
      </w:rPr>
    </w:lvl>
    <w:lvl w:ilvl="3" w:tplc="C62AF668" w:tentative="1">
      <w:start w:val="1"/>
      <w:numFmt w:val="bullet"/>
      <w:lvlText w:val=""/>
      <w:lvlJc w:val="left"/>
      <w:pPr>
        <w:ind w:left="2880" w:hanging="360"/>
      </w:pPr>
      <w:rPr>
        <w:rFonts w:ascii="Symbol" w:hAnsi="Symbol" w:hint="default"/>
      </w:rPr>
    </w:lvl>
    <w:lvl w:ilvl="4" w:tplc="A238EF3E" w:tentative="1">
      <w:start w:val="1"/>
      <w:numFmt w:val="bullet"/>
      <w:lvlText w:val="o"/>
      <w:lvlJc w:val="left"/>
      <w:pPr>
        <w:ind w:left="3600" w:hanging="360"/>
      </w:pPr>
      <w:rPr>
        <w:rFonts w:ascii="Courier New" w:hAnsi="Courier New" w:cs="Courier New" w:hint="default"/>
      </w:rPr>
    </w:lvl>
    <w:lvl w:ilvl="5" w:tplc="B12ECC9A" w:tentative="1">
      <w:start w:val="1"/>
      <w:numFmt w:val="bullet"/>
      <w:lvlText w:val=""/>
      <w:lvlJc w:val="left"/>
      <w:pPr>
        <w:ind w:left="4320" w:hanging="360"/>
      </w:pPr>
      <w:rPr>
        <w:rFonts w:ascii="Wingdings" w:hAnsi="Wingdings" w:hint="default"/>
      </w:rPr>
    </w:lvl>
    <w:lvl w:ilvl="6" w:tplc="C05AC0B8" w:tentative="1">
      <w:start w:val="1"/>
      <w:numFmt w:val="bullet"/>
      <w:lvlText w:val=""/>
      <w:lvlJc w:val="left"/>
      <w:pPr>
        <w:ind w:left="5040" w:hanging="360"/>
      </w:pPr>
      <w:rPr>
        <w:rFonts w:ascii="Symbol" w:hAnsi="Symbol" w:hint="default"/>
      </w:rPr>
    </w:lvl>
    <w:lvl w:ilvl="7" w:tplc="E5629994" w:tentative="1">
      <w:start w:val="1"/>
      <w:numFmt w:val="bullet"/>
      <w:lvlText w:val="o"/>
      <w:lvlJc w:val="left"/>
      <w:pPr>
        <w:ind w:left="5760" w:hanging="360"/>
      </w:pPr>
      <w:rPr>
        <w:rFonts w:ascii="Courier New" w:hAnsi="Courier New" w:cs="Courier New" w:hint="default"/>
      </w:rPr>
    </w:lvl>
    <w:lvl w:ilvl="8" w:tplc="7116DE80" w:tentative="1">
      <w:start w:val="1"/>
      <w:numFmt w:val="bullet"/>
      <w:lvlText w:val=""/>
      <w:lvlJc w:val="left"/>
      <w:pPr>
        <w:ind w:left="6480" w:hanging="360"/>
      </w:pPr>
      <w:rPr>
        <w:rFonts w:ascii="Wingdings" w:hAnsi="Wingdings" w:hint="default"/>
      </w:rPr>
    </w:lvl>
  </w:abstractNum>
  <w:abstractNum w:abstractNumId="31" w15:restartNumberingAfterBreak="0">
    <w:nsid w:val="7FCB6DE6"/>
    <w:multiLevelType w:val="hybridMultilevel"/>
    <w:tmpl w:val="A88A4F78"/>
    <w:lvl w:ilvl="0" w:tplc="3A484C46">
      <w:start w:val="1"/>
      <w:numFmt w:val="bullet"/>
      <w:lvlText w:val=""/>
      <w:lvlJc w:val="left"/>
      <w:pPr>
        <w:ind w:left="720" w:hanging="360"/>
      </w:pPr>
      <w:rPr>
        <w:rFonts w:ascii="Symbol" w:hAnsi="Symbol" w:hint="default"/>
      </w:rPr>
    </w:lvl>
    <w:lvl w:ilvl="1" w:tplc="8A041C34">
      <w:numFmt w:val="bullet"/>
      <w:lvlText w:val="-"/>
      <w:lvlJc w:val="left"/>
      <w:pPr>
        <w:ind w:left="1440" w:hanging="360"/>
      </w:pPr>
      <w:rPr>
        <w:rFonts w:ascii="Arial" w:eastAsia="Arial" w:hAnsi="Arial" w:cs="Arial" w:hint="default"/>
      </w:rPr>
    </w:lvl>
    <w:lvl w:ilvl="2" w:tplc="77FA3226" w:tentative="1">
      <w:start w:val="1"/>
      <w:numFmt w:val="bullet"/>
      <w:lvlText w:val=""/>
      <w:lvlJc w:val="left"/>
      <w:pPr>
        <w:ind w:left="2160" w:hanging="360"/>
      </w:pPr>
      <w:rPr>
        <w:rFonts w:ascii="Wingdings" w:hAnsi="Wingdings" w:hint="default"/>
      </w:rPr>
    </w:lvl>
    <w:lvl w:ilvl="3" w:tplc="48C2A614" w:tentative="1">
      <w:start w:val="1"/>
      <w:numFmt w:val="bullet"/>
      <w:lvlText w:val=""/>
      <w:lvlJc w:val="left"/>
      <w:pPr>
        <w:ind w:left="2880" w:hanging="360"/>
      </w:pPr>
      <w:rPr>
        <w:rFonts w:ascii="Symbol" w:hAnsi="Symbol" w:hint="default"/>
      </w:rPr>
    </w:lvl>
    <w:lvl w:ilvl="4" w:tplc="C25CDF8A" w:tentative="1">
      <w:start w:val="1"/>
      <w:numFmt w:val="bullet"/>
      <w:lvlText w:val="o"/>
      <w:lvlJc w:val="left"/>
      <w:pPr>
        <w:ind w:left="3600" w:hanging="360"/>
      </w:pPr>
      <w:rPr>
        <w:rFonts w:ascii="Courier New" w:hAnsi="Courier New" w:cs="Courier New" w:hint="default"/>
      </w:rPr>
    </w:lvl>
    <w:lvl w:ilvl="5" w:tplc="3364D47E" w:tentative="1">
      <w:start w:val="1"/>
      <w:numFmt w:val="bullet"/>
      <w:lvlText w:val=""/>
      <w:lvlJc w:val="left"/>
      <w:pPr>
        <w:ind w:left="4320" w:hanging="360"/>
      </w:pPr>
      <w:rPr>
        <w:rFonts w:ascii="Wingdings" w:hAnsi="Wingdings" w:hint="default"/>
      </w:rPr>
    </w:lvl>
    <w:lvl w:ilvl="6" w:tplc="725A5BAE" w:tentative="1">
      <w:start w:val="1"/>
      <w:numFmt w:val="bullet"/>
      <w:lvlText w:val=""/>
      <w:lvlJc w:val="left"/>
      <w:pPr>
        <w:ind w:left="5040" w:hanging="360"/>
      </w:pPr>
      <w:rPr>
        <w:rFonts w:ascii="Symbol" w:hAnsi="Symbol" w:hint="default"/>
      </w:rPr>
    </w:lvl>
    <w:lvl w:ilvl="7" w:tplc="943A1C9C" w:tentative="1">
      <w:start w:val="1"/>
      <w:numFmt w:val="bullet"/>
      <w:lvlText w:val="o"/>
      <w:lvlJc w:val="left"/>
      <w:pPr>
        <w:ind w:left="5760" w:hanging="360"/>
      </w:pPr>
      <w:rPr>
        <w:rFonts w:ascii="Courier New" w:hAnsi="Courier New" w:cs="Courier New" w:hint="default"/>
      </w:rPr>
    </w:lvl>
    <w:lvl w:ilvl="8" w:tplc="FE72F6A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stylePaneSortMethod w:val="0000"/>
  <w:mailMerge>
    <w:mainDocumentType w:val="formLetters"/>
    <w:dataType w:val="textFile"/>
    <w:activeRecord w:val="-1"/>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4D"/>
    <w:rsid w:val="00270C90"/>
    <w:rsid w:val="00D40B4D"/>
    <w:rsid w:val="00E03DA5"/>
    <w:rsid w:val="00F34A83"/>
    <w:rsid w:val="00F5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AD3BF-E684-4F73-9F42-AAF72A95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table" w:customStyle="1" w:styleId="GridTable2-Accent61">
    <w:name w:val="Grid Table 2 - Accent 6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1">
    <w:name w:val="Grid Table 2 - Accent 61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1">
    <w:name w:val="Grid Table 2 - Accent 612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E0819E9A-57D9-5246-8ED2-9D1873A5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3793</Words>
  <Characters>21624</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McLeod, Kate E</cp:lastModifiedBy>
  <cp:revision>2</cp:revision>
  <dcterms:created xsi:type="dcterms:W3CDTF">2019-09-11T05:01:00Z</dcterms:created>
  <dcterms:modified xsi:type="dcterms:W3CDTF">2019-09-11T05:01:00Z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